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D9832">
      <w:pPr>
        <w:widowControl/>
        <w:tabs>
          <w:tab w:val="left" w:pos="3819"/>
          <w:tab w:val="left" w:pos="5818"/>
          <w:tab w:val="left" w:pos="7818"/>
        </w:tabs>
        <w:spacing w:before="33"/>
        <w:jc w:val="left"/>
        <w:rPr>
          <w:rFonts w:ascii="宋体" w:hAnsi="宋体" w:eastAsia="黑体" w:cs="宋体"/>
          <w:sz w:val="24"/>
          <w:szCs w:val="28"/>
        </w:rPr>
      </w:pPr>
      <w:bookmarkStart w:id="0" w:name="SectionMark0"/>
      <w:bookmarkStart w:id="1" w:name="_Toc226343394"/>
      <w:bookmarkStart w:id="2" w:name="_Toc237936463"/>
      <w:r>
        <w:rPr>
          <w:rFonts w:ascii="宋体" w:hAnsi="宋体" w:eastAsia="黑体" w:cs="宋体"/>
          <w:sz w:val="24"/>
          <w:szCs w:val="28"/>
        </w:rPr>
        <w:t xml:space="preserve">ICS </w:t>
      </w:r>
      <w:r>
        <w:rPr>
          <w:rFonts w:hint="eastAsia" w:ascii="宋体" w:hAnsi="宋体" w:eastAsia="黑体" w:cs="宋体"/>
          <w:sz w:val="24"/>
          <w:szCs w:val="28"/>
        </w:rPr>
        <w:t xml:space="preserve">**.***.** </w:t>
      </w:r>
    </w:p>
    <w:p w14:paraId="7E34A641">
      <w:pPr>
        <w:widowControl/>
        <w:tabs>
          <w:tab w:val="left" w:pos="3819"/>
          <w:tab w:val="left" w:pos="5818"/>
          <w:tab w:val="left" w:pos="7818"/>
        </w:tabs>
        <w:spacing w:before="33"/>
        <w:jc w:val="left"/>
        <w:rPr>
          <w:rFonts w:ascii="宋体" w:hAnsi="宋体" w:eastAsia="黑体" w:cs="宋体"/>
          <w:sz w:val="24"/>
          <w:szCs w:val="28"/>
        </w:rPr>
      </w:pPr>
      <w:r>
        <w:rPr>
          <w:rFonts w:hint="eastAsia" w:ascii="宋体" w:hAnsi="宋体" w:eastAsia="黑体" w:cs="宋体"/>
          <w:sz w:val="24"/>
          <w:szCs w:val="28"/>
        </w:rPr>
        <w:t>CCS</w:t>
      </w:r>
      <w:r>
        <w:rPr>
          <w:rFonts w:ascii="宋体" w:hAnsi="宋体" w:eastAsia="黑体" w:cs="宋体"/>
          <w:sz w:val="24"/>
          <w:szCs w:val="28"/>
        </w:rPr>
        <w:t xml:space="preserve"> </w:t>
      </w:r>
      <w:r>
        <w:rPr>
          <w:rFonts w:hint="eastAsia" w:ascii="宋体" w:hAnsi="宋体" w:eastAsia="黑体" w:cs="宋体"/>
          <w:sz w:val="24"/>
          <w:szCs w:val="28"/>
        </w:rPr>
        <w:t xml:space="preserve">B ** </w:t>
      </w:r>
    </w:p>
    <w:p w14:paraId="44DB01A0">
      <w:pPr>
        <w:spacing w:before="163" w:after="163"/>
        <w:jc w:val="distribute"/>
        <w:rPr>
          <w:rFonts w:ascii="华文中宋" w:hAnsi="华文中宋" w:eastAsia="华文中宋"/>
          <w:b/>
          <w:sz w:val="52"/>
          <w:szCs w:val="52"/>
        </w:rPr>
      </w:pPr>
      <w:r>
        <w:rPr>
          <w:rFonts w:hint="eastAsia" w:ascii="华文中宋" w:hAnsi="华文中宋" w:eastAsia="华文中宋"/>
          <w:b/>
          <w:sz w:val="52"/>
          <w:szCs w:val="52"/>
        </w:rPr>
        <w:t>团体标准</w:t>
      </w:r>
    </w:p>
    <w:p w14:paraId="20DA3443">
      <w:pPr>
        <w:widowControl/>
        <w:wordWrap w:val="0"/>
        <w:spacing w:before="163" w:after="163" w:line="280" w:lineRule="exact"/>
        <w:ind w:right="197" w:rightChars="94"/>
        <w:jc w:val="right"/>
        <w:rPr>
          <w:rFonts w:ascii="宋体" w:hAnsi="宋体" w:eastAsia="黑体"/>
          <w:kern w:val="0"/>
          <w:sz w:val="28"/>
          <w:szCs w:val="28"/>
        </w:rPr>
      </w:pPr>
      <w:r>
        <w:rPr>
          <w:rFonts w:ascii="宋体" w:hAnsi="宋体" w:eastAsia="黑体"/>
          <w:kern w:val="0"/>
          <w:sz w:val="28"/>
          <w:szCs w:val="28"/>
        </w:rPr>
        <w:t xml:space="preserve">T/JSGS </w:t>
      </w:r>
      <w:r>
        <w:rPr>
          <w:rFonts w:hint="eastAsia" w:ascii="宋体" w:hAnsi="宋体" w:eastAsia="黑体"/>
          <w:kern w:val="0"/>
          <w:sz w:val="28"/>
          <w:szCs w:val="28"/>
        </w:rPr>
        <w:t>***</w:t>
      </w:r>
      <w:r>
        <w:rPr>
          <w:rFonts w:ascii="宋体" w:hAnsi="宋体" w:eastAsia="黑体"/>
          <w:kern w:val="0"/>
          <w:sz w:val="28"/>
          <w:szCs w:val="28"/>
        </w:rPr>
        <w:t>—202</w:t>
      </w:r>
      <w:r>
        <w:rPr>
          <w:rFonts w:hint="eastAsia" w:ascii="宋体" w:hAnsi="宋体" w:eastAsia="黑体"/>
          <w:kern w:val="0"/>
          <w:sz w:val="28"/>
          <w:szCs w:val="28"/>
        </w:rPr>
        <w:t>6</w:t>
      </w:r>
    </w:p>
    <w:p w14:paraId="6E13BFB6">
      <w:pPr>
        <w:jc w:val="center"/>
        <w:rPr>
          <w:rFonts w:ascii="Calibri" w:hAnsi="Calibri"/>
          <w:sz w:val="36"/>
          <w:szCs w:val="36"/>
        </w:rPr>
      </w:pPr>
      <w:r>
        <mc:AlternateContent>
          <mc:Choice Requires="wps">
            <w:drawing>
              <wp:anchor distT="0" distB="0" distL="114300" distR="114300" simplePos="0" relativeHeight="251659264" behindDoc="0" locked="0" layoutInCell="1" allowOverlap="1">
                <wp:simplePos x="0" y="0"/>
                <wp:positionH relativeFrom="column">
                  <wp:posOffset>-135890</wp:posOffset>
                </wp:positionH>
                <wp:positionV relativeFrom="paragraph">
                  <wp:posOffset>189230</wp:posOffset>
                </wp:positionV>
                <wp:extent cx="5760085" cy="0"/>
                <wp:effectExtent l="0" t="9525" r="12065" b="9525"/>
                <wp:wrapNone/>
                <wp:docPr id="9" name="直接箭头连接符 9"/>
                <wp:cNvGraphicFramePr/>
                <a:graphic xmlns:a="http://schemas.openxmlformats.org/drawingml/2006/main">
                  <a:graphicData uri="http://schemas.microsoft.com/office/word/2010/wordprocessingShape">
                    <wps:wsp>
                      <wps:cNvCnPr>
                        <a:cxnSpLocks noChangeShapeType="1"/>
                      </wps:cNvCnPr>
                      <wps:spPr bwMode="auto">
                        <a:xfrm flipV="1">
                          <a:off x="0" y="0"/>
                          <a:ext cx="5760000" cy="0"/>
                        </a:xfrm>
                        <a:prstGeom prst="straightConnector1">
                          <a:avLst/>
                        </a:prstGeom>
                        <a:noFill/>
                        <a:ln w="19050">
                          <a:solidFill>
                            <a:srgbClr val="000000"/>
                          </a:solidFill>
                          <a:round/>
                        </a:ln>
                      </wps:spPr>
                      <wps:bodyPr/>
                    </wps:wsp>
                  </a:graphicData>
                </a:graphic>
              </wp:anchor>
            </w:drawing>
          </mc:Choice>
          <mc:Fallback>
            <w:pict>
              <v:shape id="_x0000_s1026" o:spid="_x0000_s1026" o:spt="32" type="#_x0000_t32" style="position:absolute;left:0pt;flip:y;margin-left:-10.7pt;margin-top:14.9pt;height:0pt;width:453.55pt;z-index:251659264;mso-width-relative:page;mso-height-relative:page;" filled="f" stroked="t" coordsize="21600,21600" o:gfxdata="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k/AjXYAAAACQEAAA8AAAAAAAAAAQAgAAAAIgAAAGRycy9kb3ducmV2Lnht&#10;bFBLAQIUABQAAAAIAIdO4kABso4l+QEAAMkDAAAOAAAAAAAAAAEAIAAAACcBAABkcnMvZTJvRG9j&#10;LnhtbFBLBQYAAAAABgAGAFkBAACSBQAAAAA=&#10;">
                <v:fill on="f" focussize="0,0"/>
                <v:stroke weight="1.5pt" color="#000000" joinstyle="round"/>
                <v:imagedata o:title=""/>
                <o:lock v:ext="edit" aspectratio="f"/>
              </v:shape>
            </w:pict>
          </mc:Fallback>
        </mc:AlternateContent>
      </w:r>
    </w:p>
    <w:p w14:paraId="06AE8D00">
      <w:pPr>
        <w:rPr>
          <w:rFonts w:ascii="Calibri" w:hAnsi="Calibri"/>
          <w:sz w:val="44"/>
          <w:szCs w:val="44"/>
        </w:rPr>
      </w:pPr>
    </w:p>
    <w:p w14:paraId="7163F16B">
      <w:pPr>
        <w:rPr>
          <w:rFonts w:ascii="Calibri" w:hAnsi="Calibri"/>
          <w:sz w:val="44"/>
          <w:szCs w:val="44"/>
        </w:rPr>
      </w:pPr>
    </w:p>
    <w:p w14:paraId="22318D75">
      <w:pPr>
        <w:rPr>
          <w:rFonts w:ascii="Calibri" w:hAnsi="Calibri"/>
          <w:sz w:val="44"/>
          <w:szCs w:val="44"/>
        </w:rPr>
      </w:pPr>
    </w:p>
    <w:p w14:paraId="620C9772">
      <w:pPr>
        <w:jc w:val="center"/>
        <w:rPr>
          <w:rFonts w:eastAsia="黑体"/>
          <w:b/>
          <w:bCs/>
          <w:sz w:val="52"/>
          <w:szCs w:val="52"/>
        </w:rPr>
      </w:pPr>
      <w:r>
        <w:rPr>
          <w:rFonts w:hint="eastAsia" w:eastAsia="黑体"/>
          <w:b/>
          <w:bCs/>
          <w:sz w:val="52"/>
          <w:szCs w:val="52"/>
        </w:rPr>
        <w:t>喷灌条件下冬小麦夏玉米产能提升技术规范</w:t>
      </w:r>
    </w:p>
    <w:p w14:paraId="181AD75E">
      <w:pPr>
        <w:jc w:val="center"/>
        <w:rPr>
          <w:rFonts w:eastAsia="黑体"/>
          <w:b/>
          <w:bCs/>
          <w:sz w:val="44"/>
          <w:szCs w:val="44"/>
        </w:rPr>
      </w:pPr>
    </w:p>
    <w:p w14:paraId="58C4FAA7">
      <w:pPr>
        <w:spacing w:before="163" w:after="163"/>
        <w:jc w:val="center"/>
        <w:rPr>
          <w:rFonts w:eastAsia="黑体"/>
          <w:b/>
          <w:bCs/>
          <w:sz w:val="28"/>
          <w:szCs w:val="28"/>
        </w:rPr>
      </w:pPr>
      <w:r>
        <w:rPr>
          <w:rFonts w:hint="eastAsia" w:eastAsia="黑体"/>
          <w:b/>
          <w:bCs/>
          <w:sz w:val="28"/>
          <w:szCs w:val="28"/>
        </w:rPr>
        <w:t xml:space="preserve">Technical Specification for productivity improvement of winter wheat and summer maize with sprinkler irrigation </w:t>
      </w:r>
    </w:p>
    <w:p w14:paraId="17D0B9C7">
      <w:pPr>
        <w:spacing w:before="163" w:after="163"/>
        <w:jc w:val="center"/>
        <w:rPr>
          <w:rFonts w:hint="eastAsia" w:eastAsia="黑体"/>
          <w:b/>
          <w:bCs/>
          <w:sz w:val="28"/>
          <w:szCs w:val="28"/>
          <w:lang w:eastAsia="zh-CN"/>
        </w:rPr>
      </w:pPr>
      <w:r>
        <w:rPr>
          <w:rFonts w:hint="eastAsia" w:eastAsia="黑体"/>
          <w:b/>
          <w:bCs/>
          <w:sz w:val="28"/>
          <w:szCs w:val="28"/>
          <w:lang w:eastAsia="zh-CN"/>
        </w:rPr>
        <w:t>（</w:t>
      </w:r>
      <w:r>
        <w:rPr>
          <w:rFonts w:hint="eastAsia" w:eastAsia="黑体"/>
          <w:b/>
          <w:bCs/>
          <w:sz w:val="28"/>
          <w:szCs w:val="28"/>
          <w:lang w:val="en-US" w:eastAsia="zh-CN"/>
        </w:rPr>
        <w:t>征求意见稿</w:t>
      </w:r>
      <w:r>
        <w:rPr>
          <w:rFonts w:hint="eastAsia" w:eastAsia="黑体"/>
          <w:b/>
          <w:bCs/>
          <w:sz w:val="28"/>
          <w:szCs w:val="28"/>
          <w:lang w:eastAsia="zh-CN"/>
        </w:rPr>
        <w:t>）</w:t>
      </w:r>
    </w:p>
    <w:p w14:paraId="3D73CA5B">
      <w:pPr>
        <w:spacing w:before="163" w:after="163"/>
        <w:jc w:val="center"/>
        <w:rPr>
          <w:rFonts w:eastAsia="黑体"/>
          <w:b/>
          <w:bCs/>
          <w:sz w:val="28"/>
          <w:szCs w:val="28"/>
        </w:rPr>
      </w:pPr>
    </w:p>
    <w:p w14:paraId="1E26CE57">
      <w:pPr>
        <w:spacing w:before="163" w:after="163"/>
        <w:jc w:val="center"/>
        <w:rPr>
          <w:rFonts w:ascii="Calibri" w:hAnsi="Calibri" w:eastAsia="黑体"/>
          <w:b/>
          <w:sz w:val="30"/>
          <w:szCs w:val="30"/>
        </w:rPr>
      </w:pPr>
    </w:p>
    <w:p w14:paraId="51C6ABCF">
      <w:pPr>
        <w:spacing w:before="120" w:after="120"/>
        <w:rPr>
          <w:rFonts w:ascii="Calibri" w:hAnsi="Calibri"/>
          <w:sz w:val="44"/>
          <w:szCs w:val="44"/>
        </w:rPr>
      </w:pPr>
    </w:p>
    <w:p w14:paraId="4DB9F39F">
      <w:pPr>
        <w:spacing w:before="163" w:after="163"/>
        <w:jc w:val="center"/>
        <w:rPr>
          <w:rFonts w:ascii="黑体" w:hAnsi="黑体" w:eastAsia="黑体"/>
          <w:b/>
          <w:sz w:val="28"/>
          <w:szCs w:val="28"/>
        </w:rPr>
      </w:pPr>
      <w:r>
        <mc:AlternateContent>
          <mc:Choice Requires="wps">
            <w:drawing>
              <wp:anchor distT="0" distB="0" distL="114300" distR="114300" simplePos="0" relativeHeight="251660288" behindDoc="0" locked="0" layoutInCell="1" allowOverlap="1">
                <wp:simplePos x="0" y="0"/>
                <wp:positionH relativeFrom="column">
                  <wp:posOffset>-180340</wp:posOffset>
                </wp:positionH>
                <wp:positionV relativeFrom="paragraph">
                  <wp:posOffset>346710</wp:posOffset>
                </wp:positionV>
                <wp:extent cx="5760085" cy="0"/>
                <wp:effectExtent l="0" t="9525" r="12065" b="9525"/>
                <wp:wrapNone/>
                <wp:docPr id="10" name="直接箭头连接符 10"/>
                <wp:cNvGraphicFramePr/>
                <a:graphic xmlns:a="http://schemas.openxmlformats.org/drawingml/2006/main">
                  <a:graphicData uri="http://schemas.microsoft.com/office/word/2010/wordprocessingShape">
                    <wps:wsp>
                      <wps:cNvCnPr>
                        <a:cxnSpLocks noChangeShapeType="1"/>
                      </wps:cNvCnPr>
                      <wps:spPr bwMode="auto">
                        <a:xfrm flipV="1">
                          <a:off x="0" y="0"/>
                          <a:ext cx="5760000" cy="0"/>
                        </a:xfrm>
                        <a:prstGeom prst="straightConnector1">
                          <a:avLst/>
                        </a:prstGeom>
                        <a:noFill/>
                        <a:ln w="19050">
                          <a:solidFill>
                            <a:srgbClr val="000000"/>
                          </a:solidFill>
                          <a:round/>
                        </a:ln>
                      </wps:spPr>
                      <wps:bodyPr/>
                    </wps:wsp>
                  </a:graphicData>
                </a:graphic>
              </wp:anchor>
            </w:drawing>
          </mc:Choice>
          <mc:Fallback>
            <w:pict>
              <v:shape id="_x0000_s1026" o:spid="_x0000_s1026" o:spt="32" type="#_x0000_t32" style="position:absolute;left:0pt;flip:y;margin-left:-14.2pt;margin-top:27.3pt;height:0pt;width:453.55pt;z-index:251660288;mso-width-relative:page;mso-height-relative:page;" filled="f" stroked="t" coordsize="21600,21600" o:gfxdata="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fqvMK2QAAAAkBAAAPAAAAAAAAAAEAIAAAACIAAABkcnMvZG93bnJldi54&#10;bWxQSwECFAAUAAAACACHTuJAd+TShPkBAADLAwAADgAAAAAAAAABACAAAAAoAQAAZHJzL2Uyb0Rv&#10;Yy54bWxQSwUGAAAAAAYABgBZAQAAkwUAAAAA&#10;">
                <v:fill on="f" focussize="0,0"/>
                <v:stroke weight="1.5pt" color="#000000" joinstyle="round"/>
                <v:imagedata o:title=""/>
                <o:lock v:ext="edit" aspectratio="f"/>
              </v:shape>
            </w:pict>
          </mc:Fallback>
        </mc:AlternateContent>
      </w:r>
      <w:r>
        <w:rPr>
          <w:rFonts w:ascii="黑体" w:hAnsi="黑体" w:eastAsia="黑体"/>
          <w:b/>
          <w:sz w:val="28"/>
          <w:szCs w:val="28"/>
        </w:rPr>
        <w:t>202</w:t>
      </w:r>
      <w:r>
        <w:rPr>
          <w:rFonts w:hint="eastAsia" w:ascii="黑体" w:hAnsi="黑体" w:eastAsia="黑体"/>
          <w:b/>
          <w:sz w:val="28"/>
          <w:szCs w:val="28"/>
        </w:rPr>
        <w:t>*</w:t>
      </w:r>
      <w:r>
        <w:rPr>
          <w:rFonts w:ascii="黑体" w:hAnsi="黑体" w:eastAsia="黑体"/>
          <w:b/>
          <w:sz w:val="28"/>
          <w:szCs w:val="28"/>
        </w:rPr>
        <w:t>-</w:t>
      </w:r>
      <w:r>
        <w:rPr>
          <w:rFonts w:hint="eastAsia" w:ascii="黑体" w:hAnsi="黑体" w:eastAsia="黑体"/>
          <w:b/>
          <w:sz w:val="28"/>
          <w:szCs w:val="28"/>
        </w:rPr>
        <w:t>**</w:t>
      </w:r>
      <w:r>
        <w:rPr>
          <w:rFonts w:ascii="黑体" w:hAnsi="黑体" w:eastAsia="黑体"/>
          <w:b/>
          <w:sz w:val="28"/>
          <w:szCs w:val="28"/>
        </w:rPr>
        <w:t>-</w:t>
      </w:r>
      <w:r>
        <w:rPr>
          <w:rFonts w:hint="eastAsia" w:ascii="黑体" w:hAnsi="黑体" w:eastAsia="黑体"/>
          <w:b/>
          <w:sz w:val="28"/>
          <w:szCs w:val="28"/>
        </w:rPr>
        <w:t>**</w:t>
      </w:r>
      <w:r>
        <w:rPr>
          <w:rFonts w:ascii="黑体" w:hAnsi="黑体" w:eastAsia="黑体"/>
          <w:b/>
          <w:sz w:val="28"/>
          <w:szCs w:val="28"/>
        </w:rPr>
        <w:t xml:space="preserve">发布                     </w:t>
      </w:r>
      <w:r>
        <w:rPr>
          <w:rFonts w:hint="eastAsia" w:ascii="黑体" w:hAnsi="黑体" w:eastAsia="黑体"/>
          <w:b/>
          <w:sz w:val="28"/>
          <w:szCs w:val="28"/>
        </w:rPr>
        <w:t xml:space="preserve">         </w:t>
      </w:r>
      <w:r>
        <w:rPr>
          <w:rFonts w:ascii="黑体" w:hAnsi="黑体" w:eastAsia="黑体"/>
          <w:b/>
          <w:sz w:val="28"/>
          <w:szCs w:val="28"/>
        </w:rPr>
        <w:t>202</w:t>
      </w:r>
      <w:r>
        <w:rPr>
          <w:rFonts w:hint="eastAsia" w:ascii="黑体" w:hAnsi="黑体" w:eastAsia="黑体"/>
          <w:b/>
          <w:sz w:val="28"/>
          <w:szCs w:val="28"/>
        </w:rPr>
        <w:t>*</w:t>
      </w:r>
      <w:r>
        <w:rPr>
          <w:rFonts w:ascii="黑体" w:hAnsi="黑体" w:eastAsia="黑体"/>
          <w:b/>
          <w:sz w:val="28"/>
          <w:szCs w:val="28"/>
        </w:rPr>
        <w:t>-</w:t>
      </w:r>
      <w:r>
        <w:rPr>
          <w:rFonts w:hint="eastAsia" w:ascii="黑体" w:hAnsi="黑体" w:eastAsia="黑体"/>
          <w:b/>
          <w:sz w:val="28"/>
          <w:szCs w:val="28"/>
        </w:rPr>
        <w:t>**</w:t>
      </w:r>
      <w:r>
        <w:rPr>
          <w:rFonts w:ascii="黑体" w:hAnsi="黑体" w:eastAsia="黑体"/>
          <w:b/>
          <w:sz w:val="28"/>
          <w:szCs w:val="28"/>
        </w:rPr>
        <w:t>-</w:t>
      </w:r>
      <w:r>
        <w:rPr>
          <w:rFonts w:hint="eastAsia" w:ascii="黑体" w:hAnsi="黑体" w:eastAsia="黑体"/>
          <w:b/>
          <w:sz w:val="28"/>
          <w:szCs w:val="28"/>
        </w:rPr>
        <w:t>**</w:t>
      </w:r>
      <w:r>
        <w:rPr>
          <w:rFonts w:ascii="黑体" w:hAnsi="黑体" w:eastAsia="黑体"/>
          <w:b/>
          <w:sz w:val="28"/>
          <w:szCs w:val="28"/>
        </w:rPr>
        <w:t>实施</w:t>
      </w:r>
    </w:p>
    <w:p w14:paraId="71C40947">
      <w:pPr>
        <w:jc w:val="center"/>
        <w:rPr>
          <w:rFonts w:ascii="Calibri" w:hAnsi="Calibri" w:eastAsia="黑体"/>
          <w:b/>
          <w:sz w:val="28"/>
          <w:szCs w:val="28"/>
        </w:rPr>
      </w:pPr>
      <w:bookmarkStart w:id="3" w:name="_Toc6732"/>
      <w:r>
        <w:rPr>
          <w:rFonts w:hint="eastAsia" w:ascii="华文中宋" w:hAnsi="华文中宋" w:eastAsia="华文中宋"/>
          <w:b/>
          <w:sz w:val="32"/>
          <w:szCs w:val="32"/>
        </w:rPr>
        <w:t>******</w:t>
      </w:r>
      <w:r>
        <w:rPr>
          <w:rFonts w:ascii="Calibri" w:hAnsi="Calibri" w:eastAsia="黑体"/>
          <w:b/>
          <w:sz w:val="44"/>
          <w:szCs w:val="36"/>
        </w:rPr>
        <w:t xml:space="preserve"> </w:t>
      </w:r>
      <w:r>
        <w:rPr>
          <w:rFonts w:hint="eastAsia" w:ascii="Calibri" w:hAnsi="Calibri" w:eastAsia="黑体"/>
          <w:b/>
          <w:sz w:val="28"/>
          <w:szCs w:val="28"/>
        </w:rPr>
        <w:t>发布</w:t>
      </w:r>
      <w:bookmarkEnd w:id="3"/>
    </w:p>
    <w:p w14:paraId="08A4E5ED">
      <w:pPr>
        <w:ind w:right="284"/>
        <w:jc w:val="left"/>
        <w:rPr>
          <w:rFonts w:ascii="黑体" w:eastAsia="黑体"/>
          <w:b/>
          <w:bCs/>
          <w:kern w:val="0"/>
          <w:sz w:val="20"/>
          <w:szCs w:val="20"/>
        </w:rPr>
        <w:sectPr>
          <w:headerReference r:id="rId3" w:type="default"/>
          <w:footerReference r:id="rId5" w:type="default"/>
          <w:headerReference r:id="rId4" w:type="even"/>
          <w:footerReference r:id="rId6" w:type="even"/>
          <w:pgSz w:w="11907" w:h="16839"/>
          <w:pgMar w:top="1440" w:right="1800" w:bottom="1440" w:left="1800" w:header="1418" w:footer="851" w:gutter="0"/>
          <w:pgNumType w:fmt="upperRoman" w:start="1"/>
          <w:cols w:space="425" w:num="1"/>
          <w:docGrid w:type="lines" w:linePitch="312" w:charSpace="0"/>
        </w:sectPr>
      </w:pPr>
    </w:p>
    <w:bookmarkEnd w:id="0"/>
    <w:bookmarkEnd w:id="1"/>
    <w:bookmarkEnd w:id="2"/>
    <w:p w14:paraId="391575C3">
      <w:pPr>
        <w:pageBreakBefore/>
        <w:spacing w:before="850" w:after="680"/>
        <w:ind w:firstLine="640"/>
        <w:jc w:val="center"/>
        <w:rPr>
          <w:rFonts w:ascii="黑体" w:hAnsi="黑体" w:eastAsia="黑体" w:cs="黑体"/>
          <w:sz w:val="32"/>
          <w:szCs w:val="32"/>
        </w:rPr>
      </w:pPr>
      <w:bookmarkStart w:id="4" w:name="_Toc29435"/>
      <w:bookmarkStart w:id="5" w:name="_Toc3474"/>
      <w:bookmarkStart w:id="6" w:name="_Toc32640"/>
      <w:bookmarkStart w:id="7" w:name="_Toc13415"/>
      <w:bookmarkStart w:id="8" w:name="_Toc19520"/>
      <w:bookmarkStart w:id="9" w:name="_Toc3370"/>
      <w:bookmarkStart w:id="10" w:name="_Toc27202"/>
      <w:bookmarkStart w:id="11" w:name="_Toc4001"/>
      <w:bookmarkStart w:id="12" w:name="_Toc15057"/>
      <w:bookmarkStart w:id="13" w:name="_Toc19754"/>
      <w:bookmarkStart w:id="14" w:name="_Toc237936484"/>
      <w:bookmarkStart w:id="15" w:name="_Toc226886520"/>
      <w:bookmarkStart w:id="16" w:name="SectionMark4"/>
      <w:r>
        <w:rPr>
          <w:rFonts w:hint="eastAsia" w:ascii="黑体" w:hAnsi="黑体" w:eastAsia="黑体" w:cs="黑体"/>
          <w:sz w:val="32"/>
          <w:szCs w:val="32"/>
        </w:rPr>
        <w:t>目   次</w:t>
      </w:r>
      <w:bookmarkEnd w:id="4"/>
      <w:bookmarkEnd w:id="5"/>
      <w:bookmarkEnd w:id="6"/>
      <w:bookmarkEnd w:id="7"/>
      <w:bookmarkEnd w:id="8"/>
      <w:bookmarkEnd w:id="9"/>
      <w:bookmarkEnd w:id="10"/>
      <w:bookmarkEnd w:id="11"/>
      <w:bookmarkEnd w:id="12"/>
      <w:bookmarkEnd w:id="13"/>
    </w:p>
    <w:p w14:paraId="15436D79">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ascii="Times New Roman" w:eastAsia="宋体"/>
          <w:b w:val="0"/>
          <w:bCs w:val="0"/>
          <w:sz w:val="21"/>
          <w:szCs w:val="21"/>
        </w:rPr>
        <w:fldChar w:fldCharType="begin"/>
      </w:r>
      <w:r>
        <w:rPr>
          <w:rFonts w:ascii="Times New Roman" w:eastAsia="宋体"/>
          <w:b w:val="0"/>
          <w:bCs w:val="0"/>
          <w:sz w:val="21"/>
          <w:szCs w:val="21"/>
        </w:rPr>
        <w:instrText xml:space="preserve"> TOC \o "1-2" \h \z \u </w:instrText>
      </w:r>
      <w:r>
        <w:rPr>
          <w:rFonts w:ascii="Times New Roman" w:eastAsia="宋体"/>
          <w:b w:val="0"/>
          <w:bCs w:val="0"/>
          <w:sz w:val="21"/>
          <w:szCs w:val="21"/>
        </w:rPr>
        <w:fldChar w:fldCharType="separate"/>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HYPERLINK \l _Toc12543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前  言</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_Toc12543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II</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sz w:val="21"/>
          <w:szCs w:val="21"/>
        </w:rPr>
        <w:fldChar w:fldCharType="end"/>
      </w:r>
    </w:p>
    <w:p w14:paraId="6132E22D">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_Toc21150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1 范围</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_Toc21150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1</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471E6564">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_Toc13402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2 规范性引用文件</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_Toc13402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1</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29707FBE">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_Toc11665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3 术语和定义</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_Toc11665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2</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39D4E78A">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_Toc20504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4 总体要求</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_Toc20504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2</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6E80DBA7">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_Toc16812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5 </w:t>
      </w:r>
      <w:r>
        <w:rPr>
          <w:rFonts w:hint="default" w:ascii="Times New Roman" w:hAnsi="Times New Roman" w:eastAsia="宋体" w:cs="Times New Roman"/>
          <w:b w:val="0"/>
          <w:bCs/>
          <w:sz w:val="21"/>
          <w:szCs w:val="21"/>
          <w:lang w:val="en-US" w:eastAsia="zh-CN"/>
        </w:rPr>
        <w:t>耕地</w:t>
      </w:r>
      <w:r>
        <w:rPr>
          <w:rFonts w:hint="default" w:ascii="Times New Roman" w:hAnsi="Times New Roman" w:eastAsia="宋体" w:cs="Times New Roman"/>
          <w:b w:val="0"/>
          <w:bCs/>
          <w:sz w:val="21"/>
          <w:szCs w:val="21"/>
        </w:rPr>
        <w:t>地力提升与耕作</w:t>
      </w:r>
      <w:r>
        <w:rPr>
          <w:rFonts w:hint="default" w:ascii="Times New Roman" w:hAnsi="Times New Roman" w:eastAsia="宋体" w:cs="Times New Roman"/>
          <w:b w:val="0"/>
          <w:bCs/>
          <w:sz w:val="21"/>
          <w:szCs w:val="21"/>
          <w:lang w:val="en-US" w:eastAsia="zh-CN"/>
        </w:rPr>
        <w:t>播种</w:t>
      </w:r>
      <w:r>
        <w:rPr>
          <w:rFonts w:hint="default" w:ascii="Times New Roman" w:hAnsi="Times New Roman" w:eastAsia="宋体" w:cs="Times New Roman"/>
          <w:b w:val="0"/>
          <w:bCs/>
          <w:sz w:val="21"/>
          <w:szCs w:val="21"/>
        </w:rPr>
        <w:t>技术</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_Toc16812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2</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04A14781">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_Toc5735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5.1 耕地地力提升</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_Toc5735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2</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45126886">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ind w:left="0" w:firstLine="210" w:firstLineChars="10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_Toc15619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5.2 </w:t>
      </w:r>
      <w:r>
        <w:rPr>
          <w:rFonts w:hint="default" w:ascii="Times New Roman" w:hAnsi="Times New Roman" w:eastAsia="宋体" w:cs="Times New Roman"/>
          <w:b w:val="0"/>
          <w:bCs/>
          <w:sz w:val="21"/>
          <w:szCs w:val="21"/>
          <w:lang w:val="en-US" w:eastAsia="zh-CN"/>
        </w:rPr>
        <w:t>耕作</w:t>
      </w:r>
      <w:r>
        <w:rPr>
          <w:rFonts w:hint="default" w:ascii="Times New Roman" w:hAnsi="Times New Roman" w:eastAsia="宋体" w:cs="Times New Roman"/>
          <w:b w:val="0"/>
          <w:bCs/>
          <w:sz w:val="21"/>
          <w:szCs w:val="21"/>
        </w:rPr>
        <w:t>播种</w:t>
      </w:r>
      <w:r>
        <w:rPr>
          <w:rFonts w:hint="default" w:ascii="Times New Roman" w:hAnsi="Times New Roman" w:eastAsia="宋体" w:cs="Times New Roman"/>
          <w:b w:val="0"/>
          <w:bCs/>
          <w:sz w:val="21"/>
          <w:szCs w:val="21"/>
          <w:lang w:val="en-US" w:eastAsia="zh-CN"/>
        </w:rPr>
        <w:t>技术</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_Toc15619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3</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53139BC0">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_Toc14137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6 </w:t>
      </w:r>
      <w:r>
        <w:rPr>
          <w:rFonts w:hint="default" w:ascii="Times New Roman" w:hAnsi="Times New Roman" w:eastAsia="宋体" w:cs="Times New Roman"/>
          <w:b w:val="0"/>
          <w:bCs/>
          <w:sz w:val="21"/>
          <w:szCs w:val="21"/>
          <w:lang w:val="en-US" w:eastAsia="zh-CN"/>
        </w:rPr>
        <w:t>水肥管理</w:t>
      </w:r>
      <w:r>
        <w:rPr>
          <w:rFonts w:hint="default" w:ascii="Times New Roman" w:hAnsi="Times New Roman" w:eastAsia="宋体" w:cs="Times New Roman"/>
          <w:b w:val="0"/>
          <w:bCs/>
          <w:sz w:val="21"/>
          <w:szCs w:val="21"/>
        </w:rPr>
        <w:t>技术</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_Toc14137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3</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425D0363">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ind w:left="0" w:firstLine="210" w:firstLineChars="10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_Toc10534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6.1 </w:t>
      </w:r>
      <w:r>
        <w:rPr>
          <w:rFonts w:hint="default" w:ascii="Times New Roman" w:hAnsi="Times New Roman" w:eastAsia="宋体" w:cs="Times New Roman"/>
          <w:b w:val="0"/>
          <w:bCs/>
          <w:sz w:val="21"/>
          <w:szCs w:val="21"/>
          <w:highlight w:val="none"/>
          <w:lang w:val="en-US" w:eastAsia="zh-CN"/>
        </w:rPr>
        <w:t>灌溉制度</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_Toc10534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3</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4DDD1484">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ind w:left="0" w:firstLine="210" w:firstLineChars="10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_Toc29089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lang w:val="en-US" w:eastAsia="zh-CN"/>
        </w:rPr>
        <w:t xml:space="preserve">6.2 </w:t>
      </w:r>
      <w:r>
        <w:rPr>
          <w:rFonts w:hint="default" w:ascii="Times New Roman" w:hAnsi="Times New Roman" w:eastAsia="宋体" w:cs="Times New Roman"/>
          <w:b w:val="0"/>
          <w:bCs/>
          <w:sz w:val="21"/>
          <w:szCs w:val="21"/>
          <w:highlight w:val="none"/>
          <w:lang w:val="en-US" w:eastAsia="zh-CN"/>
        </w:rPr>
        <w:t>基肥施用</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_Toc29089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3</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19F86A1D">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ind w:left="0" w:firstLine="210" w:firstLineChars="10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_Toc15770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lang w:val="en-US" w:eastAsia="zh-CN"/>
        </w:rPr>
        <w:t>6.3 水肥一体化追肥</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_Toc15770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4</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50999187">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_Toc10467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7 </w:t>
      </w:r>
      <w:r>
        <w:rPr>
          <w:rFonts w:hint="default" w:ascii="Times New Roman" w:hAnsi="Times New Roman" w:eastAsia="宋体" w:cs="Times New Roman"/>
          <w:b w:val="0"/>
          <w:bCs/>
          <w:sz w:val="21"/>
          <w:szCs w:val="21"/>
          <w:highlight w:val="none"/>
        </w:rPr>
        <w:t>农田小气候调</w:t>
      </w:r>
      <w:r>
        <w:rPr>
          <w:rFonts w:hint="default" w:ascii="Times New Roman" w:hAnsi="Times New Roman" w:eastAsia="宋体" w:cs="Times New Roman"/>
          <w:b w:val="0"/>
          <w:bCs/>
          <w:sz w:val="21"/>
          <w:szCs w:val="21"/>
          <w:highlight w:val="none"/>
          <w:lang w:val="en-US" w:eastAsia="zh-CN"/>
        </w:rPr>
        <w:t>节</w:t>
      </w:r>
      <w:r>
        <w:rPr>
          <w:rFonts w:hint="default" w:ascii="Times New Roman" w:hAnsi="Times New Roman" w:eastAsia="宋体" w:cs="Times New Roman"/>
          <w:b w:val="0"/>
          <w:bCs/>
          <w:sz w:val="21"/>
          <w:szCs w:val="21"/>
          <w:highlight w:val="none"/>
        </w:rPr>
        <w:t>技术</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_Toc10467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4</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4DBC5C35">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ind w:left="0" w:firstLine="210" w:firstLineChars="10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_Toc31513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7.1 </w:t>
      </w:r>
      <w:r>
        <w:rPr>
          <w:rFonts w:hint="default" w:ascii="Times New Roman" w:hAnsi="Times New Roman" w:eastAsia="宋体" w:cs="Times New Roman"/>
          <w:b w:val="0"/>
          <w:bCs/>
          <w:sz w:val="21"/>
          <w:szCs w:val="21"/>
          <w:highlight w:val="none"/>
        </w:rPr>
        <w:t>触发指标</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_Toc31513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4</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047B3405">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ind w:left="0" w:firstLine="210" w:firstLineChars="10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_Toc819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7.2 </w:t>
      </w:r>
      <w:r>
        <w:rPr>
          <w:rFonts w:hint="default" w:ascii="Times New Roman" w:hAnsi="Times New Roman" w:eastAsia="宋体" w:cs="Times New Roman"/>
          <w:b w:val="0"/>
          <w:bCs/>
          <w:sz w:val="21"/>
          <w:szCs w:val="21"/>
          <w:highlight w:val="none"/>
        </w:rPr>
        <w:t>喷灌</w:t>
      </w:r>
      <w:r>
        <w:rPr>
          <w:rFonts w:hint="default" w:ascii="Times New Roman" w:hAnsi="Times New Roman" w:eastAsia="宋体" w:cs="Times New Roman"/>
          <w:b w:val="0"/>
          <w:bCs/>
          <w:sz w:val="21"/>
          <w:szCs w:val="21"/>
          <w:highlight w:val="none"/>
          <w:lang w:val="en-US" w:eastAsia="zh-CN"/>
        </w:rPr>
        <w:t>调节农田小气候</w:t>
      </w:r>
      <w:r>
        <w:rPr>
          <w:rFonts w:hint="default" w:ascii="Times New Roman" w:hAnsi="Times New Roman" w:eastAsia="宋体" w:cs="Times New Roman"/>
          <w:b w:val="0"/>
          <w:bCs/>
          <w:sz w:val="21"/>
          <w:szCs w:val="21"/>
          <w:highlight w:val="none"/>
        </w:rPr>
        <w:t>作业模式</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_Toc819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4</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40BD256F">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_Toc32231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8 病虫草害防治技术</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_Toc32231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5</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00A45BBA">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ind w:left="0" w:firstLine="210" w:firstLineChars="10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_Toc26420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8.1 </w:t>
      </w:r>
      <w:r>
        <w:rPr>
          <w:rFonts w:hint="default" w:ascii="Times New Roman" w:hAnsi="Times New Roman" w:eastAsia="宋体" w:cs="Times New Roman"/>
          <w:b w:val="0"/>
          <w:bCs/>
          <w:sz w:val="21"/>
          <w:szCs w:val="21"/>
          <w:lang w:val="en-US" w:eastAsia="zh-CN"/>
        </w:rPr>
        <w:t>一般规定</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_Toc26420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5</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6A872A02">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ind w:left="0" w:firstLine="210" w:firstLineChars="10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_Toc10175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8.2 </w:t>
      </w:r>
      <w:r>
        <w:rPr>
          <w:rFonts w:hint="default" w:ascii="Times New Roman" w:hAnsi="Times New Roman" w:eastAsia="宋体" w:cs="Times New Roman"/>
          <w:b w:val="0"/>
          <w:bCs/>
          <w:sz w:val="21"/>
          <w:szCs w:val="21"/>
          <w:highlight w:val="none"/>
        </w:rPr>
        <w:t>冬小麦</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_Toc10175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5</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1D192F03">
      <w:pPr>
        <w:pStyle w:val="26"/>
        <w:keepNext w:val="0"/>
        <w:keepLines w:val="0"/>
        <w:pageBreakBefore w:val="0"/>
        <w:widowControl w:val="0"/>
        <w:tabs>
          <w:tab w:val="right" w:leader="dot" w:pos="9355"/>
          <w:tab w:val="clear" w:pos="1260"/>
          <w:tab w:val="clear" w:pos="9345"/>
        </w:tabs>
        <w:kinsoku/>
        <w:wordWrap/>
        <w:overflowPunct/>
        <w:topLinePunct w:val="0"/>
        <w:autoSpaceDE/>
        <w:autoSpaceDN/>
        <w:bidi w:val="0"/>
        <w:adjustRightInd/>
        <w:snapToGrid/>
        <w:ind w:left="0" w:firstLine="210" w:firstLineChars="10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_Toc5819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sz w:val="21"/>
          <w:szCs w:val="21"/>
        </w:rPr>
        <w:t xml:space="preserve">8.3 </w:t>
      </w:r>
      <w:r>
        <w:rPr>
          <w:rFonts w:hint="default" w:ascii="Times New Roman" w:hAnsi="Times New Roman" w:eastAsia="宋体" w:cs="Times New Roman"/>
          <w:b w:val="0"/>
          <w:bCs/>
          <w:sz w:val="21"/>
          <w:szCs w:val="21"/>
          <w:highlight w:val="none"/>
        </w:rPr>
        <w:t>夏玉米</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_Toc5819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5</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769F65DB">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_Toc1564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kern w:val="44"/>
          <w:sz w:val="21"/>
          <w:szCs w:val="21"/>
        </w:rPr>
        <w:t>附录</w:t>
      </w:r>
      <w:r>
        <w:rPr>
          <w:rFonts w:hint="default" w:ascii="Times New Roman" w:hAnsi="Times New Roman" w:eastAsia="宋体" w:cs="Times New Roman"/>
          <w:b w:val="0"/>
          <w:bCs/>
          <w:kern w:val="44"/>
          <w:sz w:val="21"/>
          <w:szCs w:val="21"/>
          <w:lang w:val="en-US" w:eastAsia="zh-CN"/>
        </w:rPr>
        <w:t>A</w:t>
      </w:r>
      <w:r>
        <w:rPr>
          <w:rFonts w:hint="default" w:ascii="Times New Roman" w:hAnsi="Times New Roman" w:eastAsia="宋体" w:cs="Times New Roman"/>
          <w:b w:val="0"/>
          <w:bCs/>
          <w:caps/>
          <w:sz w:val="21"/>
          <w:szCs w:val="21"/>
        </w:rPr>
        <w:fldChar w:fldCharType="end"/>
      </w: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_Toc22630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kern w:val="44"/>
          <w:sz w:val="21"/>
          <w:szCs w:val="21"/>
        </w:rPr>
        <w:t>（资料性）</w:t>
      </w: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_Toc16373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kern w:val="44"/>
          <w:sz w:val="21"/>
          <w:szCs w:val="21"/>
        </w:rPr>
        <w:t>冬小麦和夏玉米施肥量推荐表</w:t>
      </w:r>
      <w:r>
        <w:rPr>
          <w:rFonts w:hint="default" w:ascii="Times New Roman" w:hAnsi="Times New Roman" w:eastAsia="宋体" w:cs="Times New Roman"/>
          <w:b w:val="0"/>
          <w:bCs/>
          <w:caps/>
          <w:sz w:val="21"/>
          <w:szCs w:val="21"/>
        </w:rPr>
        <w:fldChar w:fldCharType="end"/>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_Toc22630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6</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22A60A3D">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_Toc28404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kern w:val="44"/>
          <w:sz w:val="21"/>
          <w:szCs w:val="21"/>
        </w:rPr>
        <w:t>附录</w:t>
      </w:r>
      <w:r>
        <w:rPr>
          <w:rFonts w:hint="default" w:ascii="Times New Roman" w:hAnsi="Times New Roman" w:eastAsia="宋体" w:cs="Times New Roman"/>
          <w:b w:val="0"/>
          <w:bCs/>
          <w:kern w:val="44"/>
          <w:sz w:val="21"/>
          <w:szCs w:val="21"/>
          <w:lang w:val="en-US" w:eastAsia="zh-CN"/>
        </w:rPr>
        <w:t>B</w:t>
      </w:r>
      <w:r>
        <w:rPr>
          <w:rFonts w:hint="default" w:ascii="Times New Roman" w:hAnsi="Times New Roman" w:eastAsia="宋体" w:cs="Times New Roman"/>
          <w:b w:val="0"/>
          <w:bCs/>
          <w:kern w:val="44"/>
          <w:sz w:val="21"/>
          <w:szCs w:val="21"/>
        </w:rPr>
        <w:t>（资料性）</w:t>
      </w:r>
      <w:r>
        <w:rPr>
          <w:rFonts w:hint="eastAsia" w:ascii="Times New Roman" w:eastAsia="宋体" w:cs="Times New Roman"/>
          <w:b w:val="0"/>
          <w:bCs/>
          <w:kern w:val="44"/>
          <w:sz w:val="21"/>
          <w:szCs w:val="21"/>
          <w:lang w:val="en-US" w:eastAsia="zh-CN"/>
        </w:rPr>
        <w:t>冬小麦和夏玉米灌溉时段推荐表</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_Toc28404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7</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4672E7F8">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_Toc21656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kern w:val="44"/>
          <w:sz w:val="21"/>
          <w:szCs w:val="21"/>
        </w:rPr>
        <w:t>附录</w:t>
      </w:r>
      <w:r>
        <w:rPr>
          <w:rFonts w:hint="default" w:ascii="Times New Roman" w:hAnsi="Times New Roman" w:eastAsia="宋体" w:cs="Times New Roman"/>
          <w:b w:val="0"/>
          <w:bCs/>
          <w:kern w:val="44"/>
          <w:sz w:val="21"/>
          <w:szCs w:val="21"/>
          <w:lang w:val="en-US" w:eastAsia="zh-CN"/>
        </w:rPr>
        <w:t>C</w:t>
      </w:r>
      <w:r>
        <w:rPr>
          <w:rFonts w:hint="default" w:ascii="Times New Roman" w:hAnsi="Times New Roman" w:eastAsia="宋体" w:cs="Times New Roman"/>
          <w:b w:val="0"/>
          <w:bCs/>
          <w:kern w:val="44"/>
          <w:sz w:val="21"/>
          <w:szCs w:val="21"/>
        </w:rPr>
        <w:t>（资料性）土壤中微量元素丰缺等级</w:t>
      </w:r>
      <w:r>
        <w:rPr>
          <w:rFonts w:hint="default" w:ascii="Times New Roman" w:hAnsi="Times New Roman" w:eastAsia="宋体" w:cs="Times New Roman"/>
          <w:b w:val="0"/>
          <w:bCs/>
          <w:kern w:val="44"/>
          <w:sz w:val="21"/>
          <w:szCs w:val="21"/>
          <w:lang w:val="en-US" w:eastAsia="zh-CN"/>
        </w:rPr>
        <w:t>推荐</w:t>
      </w:r>
      <w:r>
        <w:rPr>
          <w:rFonts w:hint="default" w:ascii="Times New Roman" w:hAnsi="Times New Roman" w:eastAsia="宋体" w:cs="Times New Roman"/>
          <w:b w:val="0"/>
          <w:bCs/>
          <w:kern w:val="44"/>
          <w:sz w:val="21"/>
          <w:szCs w:val="21"/>
        </w:rPr>
        <w:t>表</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_Toc21656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8</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61BC6686">
      <w:pPr>
        <w:pStyle w:val="22"/>
        <w:keepNext w:val="0"/>
        <w:keepLines w:val="0"/>
        <w:pageBreakBefore w:val="0"/>
        <w:widowControl w:val="0"/>
        <w:tabs>
          <w:tab w:val="right" w:leader="dot" w:pos="9355"/>
        </w:tabs>
        <w:kinsoku/>
        <w:wordWrap/>
        <w:overflowPunct/>
        <w:topLinePunct w:val="0"/>
        <w:autoSpaceDE/>
        <w:autoSpaceDN/>
        <w:bidi w:val="0"/>
        <w:adjustRightInd/>
        <w:snapToGrid/>
        <w:spacing w:before="0" w:after="0"/>
        <w:ind w:left="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caps/>
          <w:sz w:val="21"/>
          <w:szCs w:val="21"/>
        </w:rPr>
        <w:fldChar w:fldCharType="begin"/>
      </w:r>
      <w:r>
        <w:rPr>
          <w:rFonts w:hint="default" w:ascii="Times New Roman" w:hAnsi="Times New Roman" w:eastAsia="宋体" w:cs="Times New Roman"/>
          <w:b w:val="0"/>
          <w:bCs/>
          <w:caps/>
          <w:sz w:val="21"/>
          <w:szCs w:val="21"/>
        </w:rPr>
        <w:instrText xml:space="preserve"> HYPERLINK \l _Toc23005 </w:instrText>
      </w:r>
      <w:r>
        <w:rPr>
          <w:rFonts w:hint="default" w:ascii="Times New Roman" w:hAnsi="Times New Roman" w:eastAsia="宋体" w:cs="Times New Roman"/>
          <w:b w:val="0"/>
          <w:bCs/>
          <w:caps/>
          <w:sz w:val="21"/>
          <w:szCs w:val="21"/>
        </w:rPr>
        <w:fldChar w:fldCharType="separate"/>
      </w:r>
      <w:r>
        <w:rPr>
          <w:rFonts w:hint="default" w:ascii="Times New Roman" w:hAnsi="Times New Roman" w:eastAsia="宋体" w:cs="Times New Roman"/>
          <w:b w:val="0"/>
          <w:bCs/>
          <w:kern w:val="44"/>
          <w:sz w:val="21"/>
          <w:szCs w:val="21"/>
        </w:rPr>
        <w:t>附录</w:t>
      </w:r>
      <w:r>
        <w:rPr>
          <w:rFonts w:hint="default" w:ascii="Times New Roman" w:hAnsi="Times New Roman" w:eastAsia="宋体" w:cs="Times New Roman"/>
          <w:b w:val="0"/>
          <w:bCs/>
          <w:kern w:val="44"/>
          <w:sz w:val="21"/>
          <w:szCs w:val="21"/>
          <w:lang w:val="en-US" w:eastAsia="zh-CN"/>
        </w:rPr>
        <w:t>D</w:t>
      </w:r>
      <w:r>
        <w:rPr>
          <w:rFonts w:hint="default" w:ascii="Times New Roman" w:hAnsi="Times New Roman" w:eastAsia="宋体" w:cs="Times New Roman"/>
          <w:b w:val="0"/>
          <w:bCs/>
          <w:kern w:val="44"/>
          <w:sz w:val="21"/>
          <w:szCs w:val="21"/>
        </w:rPr>
        <w:t>（资料性）氮磷钾肥液喷施浓度</w:t>
      </w:r>
      <w:r>
        <w:rPr>
          <w:rFonts w:hint="default" w:ascii="Times New Roman" w:hAnsi="Times New Roman" w:eastAsia="宋体" w:cs="Times New Roman"/>
          <w:b w:val="0"/>
          <w:bCs/>
          <w:kern w:val="44"/>
          <w:sz w:val="21"/>
          <w:szCs w:val="21"/>
          <w:lang w:val="en-US" w:eastAsia="zh-CN"/>
        </w:rPr>
        <w:t>推荐</w:t>
      </w:r>
      <w:r>
        <w:rPr>
          <w:rFonts w:hint="default" w:ascii="Times New Roman" w:hAnsi="Times New Roman" w:eastAsia="宋体" w:cs="Times New Roman"/>
          <w:b w:val="0"/>
          <w:bCs/>
          <w:kern w:val="44"/>
          <w:sz w:val="21"/>
          <w:szCs w:val="21"/>
        </w:rPr>
        <w:t>表</w:t>
      </w:r>
      <w:r>
        <w:rPr>
          <w:rFonts w:hint="default" w:ascii="Times New Roman" w:hAnsi="Times New Roman" w:eastAsia="宋体" w:cs="Times New Roman"/>
          <w:b w:val="0"/>
          <w:bCs/>
          <w:sz w:val="21"/>
          <w:szCs w:val="21"/>
        </w:rPr>
        <w:tab/>
      </w:r>
      <w:r>
        <w:rPr>
          <w:rFonts w:hint="default" w:ascii="Times New Roman" w:hAnsi="Times New Roman" w:eastAsia="宋体" w:cs="Times New Roman"/>
          <w:b w:val="0"/>
          <w:bCs/>
          <w:sz w:val="21"/>
          <w:szCs w:val="21"/>
        </w:rPr>
        <w:fldChar w:fldCharType="begin"/>
      </w:r>
      <w:r>
        <w:rPr>
          <w:rFonts w:hint="default" w:ascii="Times New Roman" w:hAnsi="Times New Roman" w:eastAsia="宋体" w:cs="Times New Roman"/>
          <w:b w:val="0"/>
          <w:bCs/>
          <w:sz w:val="21"/>
          <w:szCs w:val="21"/>
        </w:rPr>
        <w:instrText xml:space="preserve"> PAGEREF _Toc23005 \h </w:instrText>
      </w:r>
      <w:r>
        <w:rPr>
          <w:rFonts w:hint="default" w:ascii="Times New Roman" w:hAnsi="Times New Roman" w:eastAsia="宋体" w:cs="Times New Roman"/>
          <w:b w:val="0"/>
          <w:bCs/>
          <w:sz w:val="21"/>
          <w:szCs w:val="21"/>
        </w:rPr>
        <w:fldChar w:fldCharType="separate"/>
      </w:r>
      <w:r>
        <w:rPr>
          <w:rFonts w:hint="default" w:ascii="Times New Roman" w:hAnsi="Times New Roman" w:eastAsia="宋体" w:cs="Times New Roman"/>
          <w:b w:val="0"/>
          <w:bCs/>
          <w:sz w:val="21"/>
          <w:szCs w:val="21"/>
        </w:rPr>
        <w:t>9</w:t>
      </w:r>
      <w:r>
        <w:rPr>
          <w:rFonts w:hint="default" w:ascii="Times New Roman" w:hAnsi="Times New Roman" w:eastAsia="宋体" w:cs="Times New Roman"/>
          <w:b w:val="0"/>
          <w:bCs/>
          <w:sz w:val="21"/>
          <w:szCs w:val="21"/>
        </w:rPr>
        <w:fldChar w:fldCharType="end"/>
      </w:r>
      <w:r>
        <w:rPr>
          <w:rFonts w:hint="default" w:ascii="Times New Roman" w:hAnsi="Times New Roman" w:eastAsia="宋体" w:cs="Times New Roman"/>
          <w:b w:val="0"/>
          <w:bCs/>
          <w:caps/>
          <w:sz w:val="21"/>
          <w:szCs w:val="21"/>
        </w:rPr>
        <w:fldChar w:fldCharType="end"/>
      </w:r>
    </w:p>
    <w:p w14:paraId="2BC67786">
      <w:pPr>
        <w:pStyle w:val="26"/>
        <w:tabs>
          <w:tab w:val="right" w:leader="dot" w:pos="9355"/>
          <w:tab w:val="clear" w:pos="1260"/>
          <w:tab w:val="clear" w:pos="9345"/>
        </w:tabs>
        <w:ind w:left="0"/>
        <w:rPr>
          <w:rFonts w:ascii="Times New Roman" w:eastAsia="宋体"/>
          <w:szCs w:val="21"/>
        </w:rPr>
        <w:sectPr>
          <w:footerReference r:id="rId7" w:type="default"/>
          <w:footerReference r:id="rId8" w:type="even"/>
          <w:pgSz w:w="11907" w:h="16839"/>
          <w:pgMar w:top="1418" w:right="1134" w:bottom="1134" w:left="1418" w:header="1418" w:footer="851" w:gutter="0"/>
          <w:pgNumType w:fmt="upperRoman" w:start="1"/>
          <w:cols w:space="425" w:num="1"/>
          <w:docGrid w:type="lines" w:linePitch="312" w:charSpace="0"/>
        </w:sectPr>
      </w:pPr>
      <w:r>
        <w:rPr>
          <w:rFonts w:ascii="Times New Roman" w:eastAsia="宋体"/>
          <w:caps/>
          <w:szCs w:val="21"/>
        </w:rPr>
        <w:fldChar w:fldCharType="end"/>
      </w:r>
    </w:p>
    <w:p w14:paraId="77E406F9">
      <w:pPr>
        <w:pStyle w:val="2"/>
        <w:keepNext w:val="0"/>
        <w:keepLines w:val="0"/>
        <w:pageBreakBefore/>
        <w:widowControl/>
        <w:numPr>
          <w:ilvl w:val="255"/>
          <w:numId w:val="0"/>
        </w:numPr>
        <w:spacing w:before="158" w:beforeLines="50" w:after="158" w:afterLines="50" w:line="240" w:lineRule="auto"/>
        <w:jc w:val="center"/>
        <w:rPr>
          <w:b w:val="0"/>
          <w:sz w:val="32"/>
          <w:szCs w:val="32"/>
        </w:rPr>
      </w:pPr>
      <w:bookmarkStart w:id="17" w:name="_Toc237936471"/>
      <w:bookmarkStart w:id="18" w:name="_Toc235478378"/>
      <w:bookmarkStart w:id="19" w:name="_Toc237922979"/>
      <w:bookmarkStart w:id="20" w:name="_Toc12543"/>
      <w:bookmarkStart w:id="21" w:name="_Toc237922320"/>
      <w:bookmarkStart w:id="22" w:name="_Toc96948172"/>
      <w:bookmarkStart w:id="23" w:name="_Toc237923087"/>
      <w:bookmarkStart w:id="24" w:name="_Toc89800865"/>
      <w:bookmarkStart w:id="25" w:name="_Toc237923143"/>
      <w:bookmarkStart w:id="26" w:name="_Toc226886519"/>
      <w:bookmarkStart w:id="27" w:name="_Toc29349"/>
      <w:r>
        <w:rPr>
          <w:rFonts w:hint="eastAsia"/>
          <w:b w:val="0"/>
          <w:sz w:val="32"/>
          <w:szCs w:val="32"/>
        </w:rPr>
        <w:t>前  言</w:t>
      </w:r>
      <w:bookmarkEnd w:id="17"/>
      <w:bookmarkEnd w:id="18"/>
      <w:bookmarkEnd w:id="19"/>
      <w:bookmarkEnd w:id="20"/>
      <w:bookmarkEnd w:id="21"/>
      <w:bookmarkEnd w:id="22"/>
      <w:bookmarkEnd w:id="23"/>
      <w:bookmarkEnd w:id="24"/>
      <w:bookmarkEnd w:id="25"/>
      <w:bookmarkEnd w:id="26"/>
      <w:bookmarkEnd w:id="27"/>
    </w:p>
    <w:p w14:paraId="01EC809D">
      <w:pPr>
        <w:ind w:firstLine="420" w:firstLineChars="200"/>
      </w:pPr>
      <w:bookmarkStart w:id="28" w:name="_Toc226343387"/>
      <w:bookmarkStart w:id="29" w:name="_Toc237936472"/>
      <w:r>
        <w:rPr>
          <w:color w:val="000000"/>
          <w:kern w:val="0"/>
          <w:lang w:bidi="ar"/>
        </w:rPr>
        <w:t xml:space="preserve">本文件按照 GB/T1.1—2020《标准化工作导则 第1部分:标准化文件的结构和起草规则》的规定起草。  </w:t>
      </w:r>
    </w:p>
    <w:p w14:paraId="690EA7C7">
      <w:pPr>
        <w:pStyle w:val="57"/>
        <w:ind w:firstLine="420"/>
        <w:rPr>
          <w:rFonts w:ascii="Times New Roman"/>
          <w:lang w:bidi="ar"/>
        </w:rPr>
      </w:pPr>
      <w:r>
        <w:rPr>
          <w:rFonts w:ascii="Times New Roman"/>
          <w:color w:val="000000"/>
          <w:lang w:bidi="ar"/>
        </w:rPr>
        <w:t>请注意本文件的某</w:t>
      </w:r>
      <w:r>
        <w:rPr>
          <w:rFonts w:ascii="Times New Roman"/>
          <w:lang w:bidi="ar"/>
        </w:rPr>
        <w:t>些内容可能涉及专利。本文件的发布机构不承担识别专利的责任。</w:t>
      </w:r>
    </w:p>
    <w:p w14:paraId="72476598">
      <w:pPr>
        <w:ind w:firstLine="420"/>
      </w:pPr>
      <w:r>
        <w:rPr>
          <w:kern w:val="0"/>
          <w:lang w:bidi="ar"/>
        </w:rPr>
        <w:t xml:space="preserve">本文件由中国农业节水和农村供水技术协会提出并归口。 </w:t>
      </w:r>
    </w:p>
    <w:p w14:paraId="38116311">
      <w:pPr>
        <w:ind w:firstLine="420"/>
        <w:rPr>
          <w:color w:val="000000"/>
          <w:kern w:val="0"/>
          <w:lang w:bidi="ar"/>
        </w:rPr>
      </w:pPr>
      <w:r>
        <w:rPr>
          <w:color w:val="000000"/>
          <w:kern w:val="0"/>
          <w:lang w:bidi="ar"/>
        </w:rPr>
        <w:t>本文件起草单位：</w:t>
      </w:r>
      <w:r>
        <w:rPr>
          <w:rFonts w:hint="eastAsia"/>
          <w:color w:val="000000"/>
          <w:kern w:val="0"/>
          <w:lang w:bidi="ar"/>
        </w:rPr>
        <w:t>中国水利水电科学研究院、北京师范大学、中国农业大学、中国农业科学院农田灌溉研究所、开封市土壤肥料工作站、安阳县农业农村局、汤阴县科技局、邢台市农业综合服务中心农业技术推广站、衡水市土壤肥料工作站</w:t>
      </w:r>
      <w:r>
        <w:rPr>
          <w:rFonts w:hint="eastAsia"/>
          <w:color w:val="000000"/>
          <w:kern w:val="0"/>
          <w:lang w:eastAsia="zh-CN" w:bidi="ar"/>
        </w:rPr>
        <w:t>、怀来县农业农村局、德州市农业科学研究院</w:t>
      </w:r>
      <w:r>
        <w:rPr>
          <w:rFonts w:hint="eastAsia"/>
          <w:color w:val="000000"/>
          <w:kern w:val="0"/>
          <w:lang w:bidi="ar"/>
        </w:rPr>
        <w:t>。</w:t>
      </w:r>
    </w:p>
    <w:p w14:paraId="0E125DEB">
      <w:pPr>
        <w:pStyle w:val="57"/>
        <w:ind w:firstLine="420"/>
        <w:rPr>
          <w:rFonts w:ascii="Times New Roman"/>
          <w:color w:val="000000"/>
          <w:szCs w:val="24"/>
          <w:lang w:bidi="ar"/>
        </w:rPr>
      </w:pPr>
      <w:r>
        <w:rPr>
          <w:rFonts w:ascii="Times New Roman"/>
          <w:color w:val="000000"/>
          <w:szCs w:val="24"/>
          <w:lang w:bidi="ar"/>
        </w:rPr>
        <w:t>本文件主要起草人：</w:t>
      </w:r>
      <w:r>
        <w:rPr>
          <w:rFonts w:hint="eastAsia" w:ascii="Times New Roman"/>
          <w:color w:val="000000"/>
          <w:szCs w:val="24"/>
          <w:lang w:bidi="ar"/>
        </w:rPr>
        <w:t>赵伟霞、</w:t>
      </w:r>
      <w:r>
        <w:rPr>
          <w:rFonts w:hint="eastAsia" w:ascii="Times New Roman"/>
          <w:color w:val="000000"/>
          <w:szCs w:val="24"/>
          <w:lang w:val="en-US" w:eastAsia="zh-CN" w:bidi="ar"/>
        </w:rPr>
        <w:t>李久生、</w:t>
      </w:r>
      <w:r>
        <w:rPr>
          <w:rFonts w:hint="eastAsia" w:ascii="Times New Roman"/>
          <w:color w:val="000000"/>
          <w:szCs w:val="24"/>
          <w:lang w:bidi="ar"/>
        </w:rPr>
        <w:t>刘海军、韩志慧、张敏讷、徐云成、段福义、武豪、李艳、</w:t>
      </w:r>
      <w:r>
        <w:rPr>
          <w:rFonts w:hint="eastAsia"/>
          <w:color w:val="000000"/>
          <w:lang w:bidi="ar"/>
        </w:rPr>
        <w:t>陈聪、张瑞雪、张荣河</w:t>
      </w:r>
      <w:r>
        <w:rPr>
          <w:rFonts w:hint="eastAsia"/>
          <w:color w:val="000000"/>
          <w:lang w:eastAsia="zh-CN" w:bidi="ar"/>
        </w:rPr>
        <w:t>、</w:t>
      </w:r>
      <w:r>
        <w:rPr>
          <w:rFonts w:hint="eastAsia"/>
          <w:color w:val="000000"/>
          <w:lang w:bidi="ar"/>
        </w:rPr>
        <w:t>张永刚、石文军、</w:t>
      </w:r>
      <w:r>
        <w:rPr>
          <w:rFonts w:hint="eastAsia"/>
          <w:color w:val="000000"/>
          <w:lang w:val="en-US" w:eastAsia="zh-CN" w:bidi="ar"/>
        </w:rPr>
        <w:t>张海勇、</w:t>
      </w:r>
      <w:r>
        <w:rPr>
          <w:rFonts w:hint="eastAsia"/>
          <w:color w:val="000000"/>
          <w:lang w:bidi="ar"/>
        </w:rPr>
        <w:t>张</w:t>
      </w:r>
      <w:bookmarkStart w:id="124" w:name="_GoBack"/>
      <w:bookmarkEnd w:id="124"/>
      <w:r>
        <w:rPr>
          <w:rFonts w:hint="eastAsia"/>
          <w:color w:val="000000"/>
          <w:lang w:bidi="ar"/>
        </w:rPr>
        <w:t>洪星</w:t>
      </w:r>
      <w:r>
        <w:rPr>
          <w:rFonts w:hint="eastAsia"/>
          <w:color w:val="000000"/>
          <w:lang w:eastAsia="zh-CN" w:bidi="ar"/>
        </w:rPr>
        <w:t>、</w:t>
      </w:r>
      <w:r>
        <w:rPr>
          <w:rFonts w:hint="eastAsia"/>
          <w:color w:val="000000"/>
          <w:kern w:val="0"/>
          <w:lang w:eastAsia="zh-CN" w:bidi="ar"/>
        </w:rPr>
        <w:t>王建英、</w:t>
      </w:r>
      <w:r>
        <w:rPr>
          <w:rFonts w:hint="eastAsia"/>
          <w:color w:val="000000"/>
          <w:kern w:val="0"/>
          <w:lang w:val="en-US" w:eastAsia="zh-CN" w:bidi="ar"/>
        </w:rPr>
        <w:t>范欣瑞、</w:t>
      </w:r>
      <w:r>
        <w:rPr>
          <w:rFonts w:hint="eastAsia"/>
          <w:color w:val="000000"/>
          <w:lang w:bidi="ar"/>
        </w:rPr>
        <w:t>李佳乐</w:t>
      </w:r>
      <w:r>
        <w:rPr>
          <w:rFonts w:hint="eastAsia" w:ascii="Times New Roman"/>
          <w:color w:val="000000"/>
          <w:szCs w:val="24"/>
          <w:lang w:bidi="ar"/>
        </w:rPr>
        <w:t>。</w:t>
      </w:r>
    </w:p>
    <w:bookmarkEnd w:id="28"/>
    <w:bookmarkEnd w:id="29"/>
    <w:p w14:paraId="71A9B292">
      <w:pPr>
        <w:ind w:firstLine="420"/>
        <w:rPr>
          <w:kern w:val="0"/>
          <w:lang w:bidi="ar"/>
        </w:rPr>
      </w:pPr>
      <w:r>
        <w:rPr>
          <w:rFonts w:hint="eastAsia"/>
          <w:kern w:val="0"/>
          <w:lang w:bidi="ar"/>
        </w:rPr>
        <w:t>本文件为首次发布。</w:t>
      </w:r>
    </w:p>
    <w:p w14:paraId="16347FB5">
      <w:pPr>
        <w:ind w:firstLine="420"/>
        <w:rPr>
          <w:kern w:val="0"/>
          <w:lang w:bidi="ar"/>
        </w:rPr>
        <w:sectPr>
          <w:footerReference r:id="rId9" w:type="default"/>
          <w:pgSz w:w="11906" w:h="16838"/>
          <w:pgMar w:top="1417" w:right="1134" w:bottom="1134" w:left="1417" w:header="851" w:footer="992" w:gutter="0"/>
          <w:pgNumType w:fmt="upperRoman"/>
          <w:cols w:space="0" w:num="1"/>
          <w:docGrid w:type="lines" w:linePitch="317" w:charSpace="0"/>
        </w:sectPr>
      </w:pPr>
    </w:p>
    <w:p w14:paraId="7713EF2F">
      <w:pPr>
        <w:pageBreakBefore/>
        <w:spacing w:before="850" w:after="680"/>
        <w:jc w:val="center"/>
        <w:rPr>
          <w:rFonts w:eastAsia="黑体"/>
          <w:sz w:val="32"/>
          <w:szCs w:val="32"/>
        </w:rPr>
      </w:pPr>
      <w:r>
        <w:rPr>
          <w:rFonts w:hint="eastAsia" w:eastAsia="黑体"/>
          <w:sz w:val="32"/>
          <w:szCs w:val="32"/>
        </w:rPr>
        <w:t>喷灌条件下冬小麦夏玉米产能提升技术规范</w:t>
      </w:r>
    </w:p>
    <w:p w14:paraId="52CBD343">
      <w:pPr>
        <w:pStyle w:val="2"/>
        <w:widowControl/>
        <w:numPr>
          <w:ilvl w:val="0"/>
          <w:numId w:val="18"/>
        </w:numPr>
        <w:spacing w:before="156" w:beforeLines="50" w:after="156" w:afterLines="50" w:line="240" w:lineRule="auto"/>
        <w:jc w:val="left"/>
        <w:rPr>
          <w:rFonts w:eastAsia="黑体"/>
          <w:b w:val="0"/>
          <w:sz w:val="21"/>
          <w:szCs w:val="20"/>
        </w:rPr>
      </w:pPr>
      <w:bookmarkStart w:id="30" w:name="_Toc87970153"/>
      <w:bookmarkStart w:id="31" w:name="_Toc235478379"/>
      <w:bookmarkStart w:id="32" w:name="_Toc26686"/>
      <w:bookmarkStart w:id="33" w:name="_Toc96948173"/>
      <w:bookmarkStart w:id="34" w:name="_Toc21150"/>
      <w:r>
        <w:rPr>
          <w:rFonts w:eastAsia="黑体"/>
          <w:b w:val="0"/>
          <w:sz w:val="21"/>
          <w:szCs w:val="20"/>
        </w:rPr>
        <w:t>范围</w:t>
      </w:r>
      <w:bookmarkEnd w:id="30"/>
      <w:bookmarkEnd w:id="31"/>
      <w:bookmarkEnd w:id="32"/>
      <w:bookmarkEnd w:id="33"/>
      <w:bookmarkEnd w:id="34"/>
    </w:p>
    <w:p w14:paraId="5B9537EA">
      <w:pPr>
        <w:keepNext/>
        <w:ind w:firstLine="420" w:firstLineChars="200"/>
        <w:rPr>
          <w:color w:val="000000"/>
          <w:szCs w:val="21"/>
        </w:rPr>
      </w:pPr>
      <w:r>
        <w:rPr>
          <w:color w:val="000000"/>
          <w:szCs w:val="21"/>
          <w:lang w:val="en-US" w:eastAsia="zh-CN"/>
        </w:rPr>
        <w:t>本文件规定了喷灌</w:t>
      </w:r>
      <w:r>
        <w:rPr>
          <w:rFonts w:hint="eastAsia"/>
          <w:color w:val="000000"/>
          <w:szCs w:val="21"/>
          <w:lang w:val="en-US" w:eastAsia="zh-CN"/>
        </w:rPr>
        <w:t>条件</w:t>
      </w:r>
      <w:r>
        <w:rPr>
          <w:color w:val="000000"/>
          <w:szCs w:val="21"/>
          <w:lang w:val="en-US" w:eastAsia="zh-CN"/>
        </w:rPr>
        <w:t>下，冬小麦—夏玉米轮作体系产能提升的</w:t>
      </w:r>
      <w:r>
        <w:rPr>
          <w:rFonts w:hint="eastAsia"/>
          <w:color w:val="000000"/>
          <w:szCs w:val="21"/>
          <w:lang w:val="en-US" w:eastAsia="zh-CN"/>
        </w:rPr>
        <w:t>总体要求、</w:t>
      </w:r>
      <w:r>
        <w:rPr>
          <w:color w:val="000000"/>
          <w:szCs w:val="21"/>
          <w:lang w:val="en-US" w:eastAsia="zh-CN"/>
        </w:rPr>
        <w:t>耕地</w:t>
      </w:r>
      <w:r>
        <w:rPr>
          <w:rFonts w:hint="eastAsia"/>
          <w:color w:val="000000"/>
          <w:szCs w:val="21"/>
          <w:lang w:val="en-US" w:eastAsia="zh-CN"/>
        </w:rPr>
        <w:t>地力提升与耕作播种、水肥管理</w:t>
      </w:r>
      <w:r>
        <w:rPr>
          <w:color w:val="000000"/>
          <w:szCs w:val="21"/>
          <w:lang w:val="en-US" w:eastAsia="zh-CN"/>
        </w:rPr>
        <w:t>、农田小气候调</w:t>
      </w:r>
      <w:r>
        <w:rPr>
          <w:rFonts w:hint="eastAsia"/>
          <w:color w:val="000000"/>
          <w:szCs w:val="21"/>
          <w:lang w:val="en-US" w:eastAsia="zh-CN"/>
        </w:rPr>
        <w:t>节</w:t>
      </w:r>
      <w:r>
        <w:rPr>
          <w:color w:val="000000"/>
          <w:szCs w:val="21"/>
          <w:lang w:val="en-US" w:eastAsia="zh-CN"/>
        </w:rPr>
        <w:t>、病虫草害</w:t>
      </w:r>
      <w:r>
        <w:rPr>
          <w:rFonts w:hint="eastAsia"/>
          <w:color w:val="000000"/>
          <w:szCs w:val="21"/>
          <w:lang w:val="en-US" w:eastAsia="zh-CN"/>
        </w:rPr>
        <w:t>防治等</w:t>
      </w:r>
      <w:r>
        <w:rPr>
          <w:color w:val="000000"/>
          <w:szCs w:val="21"/>
          <w:lang w:val="en-US" w:eastAsia="zh-CN"/>
        </w:rPr>
        <w:t>技术要求。</w:t>
      </w:r>
    </w:p>
    <w:p w14:paraId="3AC9C8ED">
      <w:pPr>
        <w:keepNext/>
        <w:ind w:firstLine="420" w:firstLineChars="200"/>
        <w:rPr>
          <w:color w:val="000000"/>
          <w:szCs w:val="21"/>
        </w:rPr>
      </w:pPr>
      <w:r>
        <w:rPr>
          <w:color w:val="000000"/>
          <w:szCs w:val="21"/>
          <w:lang w:val="en-US" w:eastAsia="zh-CN"/>
        </w:rPr>
        <w:t>本文件适用于华北平原冬小麦—夏玉米一年两熟轮作种植区，依托喷灌工程配套措施与田间管理措施开展粮食产能提升的标准化生产应用。</w:t>
      </w:r>
    </w:p>
    <w:p w14:paraId="5D82FD54">
      <w:pPr>
        <w:pStyle w:val="2"/>
        <w:widowControl/>
        <w:numPr>
          <w:ilvl w:val="0"/>
          <w:numId w:val="18"/>
        </w:numPr>
        <w:spacing w:before="156" w:beforeLines="50" w:after="156" w:afterLines="50" w:line="240" w:lineRule="auto"/>
        <w:jc w:val="left"/>
        <w:rPr>
          <w:rFonts w:eastAsia="黑体"/>
          <w:b w:val="0"/>
          <w:sz w:val="21"/>
          <w:szCs w:val="20"/>
        </w:rPr>
      </w:pPr>
      <w:bookmarkStart w:id="35" w:name="_Toc49373139"/>
      <w:bookmarkEnd w:id="35"/>
      <w:bookmarkStart w:id="36" w:name="_Toc49373440"/>
      <w:bookmarkEnd w:id="36"/>
      <w:bookmarkStart w:id="37" w:name="_Toc49373735"/>
      <w:bookmarkEnd w:id="37"/>
      <w:bookmarkStart w:id="38" w:name="_Toc49372832"/>
      <w:bookmarkEnd w:id="38"/>
      <w:bookmarkStart w:id="39" w:name="_Toc96948174"/>
      <w:bookmarkStart w:id="40" w:name="_Toc235478380"/>
      <w:bookmarkStart w:id="41" w:name="_Toc13402"/>
      <w:bookmarkStart w:id="42" w:name="_Toc87970154"/>
      <w:bookmarkStart w:id="43" w:name="_Toc28581"/>
      <w:r>
        <w:rPr>
          <w:rFonts w:eastAsia="黑体"/>
          <w:b w:val="0"/>
          <w:sz w:val="21"/>
          <w:szCs w:val="20"/>
        </w:rPr>
        <w:t>规范性引用文件</w:t>
      </w:r>
      <w:bookmarkEnd w:id="39"/>
      <w:bookmarkEnd w:id="40"/>
      <w:bookmarkEnd w:id="41"/>
      <w:bookmarkEnd w:id="42"/>
      <w:bookmarkEnd w:id="43"/>
    </w:p>
    <w:p w14:paraId="053D6C2A">
      <w:pPr>
        <w:keepNext/>
        <w:ind w:firstLine="420" w:firstLineChars="200"/>
        <w:rPr>
          <w:color w:val="000000"/>
          <w:szCs w:val="21"/>
        </w:rPr>
      </w:pPr>
      <w:r>
        <w:rPr>
          <w:color w:val="000000"/>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206B4946">
      <w:pPr>
        <w:pStyle w:val="57"/>
        <w:tabs>
          <w:tab w:val="center" w:pos="4201"/>
          <w:tab w:val="right" w:leader="dot" w:pos="9298"/>
        </w:tabs>
        <w:ind w:firstLine="420"/>
        <w:rPr>
          <w:rFonts w:ascii="Times New Roman"/>
          <w:szCs w:val="21"/>
        </w:rPr>
      </w:pPr>
      <w:r>
        <w:rPr>
          <w:rFonts w:hint="eastAsia" w:ascii="Times New Roman"/>
          <w:szCs w:val="21"/>
        </w:rPr>
        <w:t>GB 4404.1 粮食作物种子 第1部分：禾谷类</w:t>
      </w:r>
    </w:p>
    <w:p w14:paraId="4EE6B6E1">
      <w:pPr>
        <w:pStyle w:val="57"/>
        <w:tabs>
          <w:tab w:val="center" w:pos="4201"/>
          <w:tab w:val="right" w:leader="dot" w:pos="9298"/>
        </w:tabs>
        <w:ind w:firstLine="420"/>
        <w:rPr>
          <w:rFonts w:ascii="Times New Roman"/>
          <w:szCs w:val="21"/>
        </w:rPr>
      </w:pPr>
      <w:r>
        <w:rPr>
          <w:rFonts w:hint="eastAsia" w:ascii="Times New Roman"/>
          <w:szCs w:val="21"/>
        </w:rPr>
        <w:t>GB 5084 农田灌溉水质标准</w:t>
      </w:r>
    </w:p>
    <w:p w14:paraId="76F1089B">
      <w:pPr>
        <w:pStyle w:val="57"/>
        <w:tabs>
          <w:tab w:val="center" w:pos="4201"/>
          <w:tab w:val="right" w:leader="dot" w:pos="9298"/>
        </w:tabs>
        <w:ind w:firstLine="420"/>
        <w:rPr>
          <w:rFonts w:ascii="Times New Roman"/>
          <w:szCs w:val="21"/>
        </w:rPr>
      </w:pPr>
      <w:r>
        <w:rPr>
          <w:rFonts w:ascii="Times New Roman"/>
          <w:szCs w:val="21"/>
        </w:rPr>
        <w:t>GB/T 15671 农作物薄膜包衣种子技术条件</w:t>
      </w:r>
    </w:p>
    <w:p w14:paraId="250A18FA">
      <w:pPr>
        <w:pStyle w:val="57"/>
        <w:tabs>
          <w:tab w:val="center" w:pos="4201"/>
          <w:tab w:val="right" w:leader="dot" w:pos="9298"/>
        </w:tabs>
        <w:ind w:firstLine="420"/>
        <w:rPr>
          <w:rFonts w:ascii="Times New Roman"/>
          <w:szCs w:val="21"/>
          <w:highlight w:val="none"/>
        </w:rPr>
      </w:pPr>
      <w:r>
        <w:rPr>
          <w:rFonts w:hint="eastAsia" w:ascii="Times New Roman"/>
          <w:szCs w:val="21"/>
        </w:rPr>
        <w:t>GB/T 2</w:t>
      </w:r>
      <w:r>
        <w:rPr>
          <w:rFonts w:hint="eastAsia" w:ascii="Times New Roman"/>
          <w:szCs w:val="21"/>
          <w:highlight w:val="none"/>
        </w:rPr>
        <w:t>0865 免（少）耕施肥播种机</w:t>
      </w:r>
    </w:p>
    <w:p w14:paraId="0CBCDAC1">
      <w:pPr>
        <w:pStyle w:val="57"/>
        <w:tabs>
          <w:tab w:val="center" w:pos="4201"/>
          <w:tab w:val="right" w:leader="dot" w:pos="9298"/>
        </w:tabs>
        <w:ind w:firstLine="420"/>
        <w:rPr>
          <w:rFonts w:ascii="Times New Roman"/>
          <w:highlight w:val="none"/>
        </w:rPr>
      </w:pPr>
      <w:r>
        <w:rPr>
          <w:rFonts w:ascii="Times New Roman"/>
          <w:highlight w:val="none"/>
        </w:rPr>
        <w:t>GB/T 25420</w:t>
      </w:r>
      <w:r>
        <w:rPr>
          <w:rFonts w:hint="eastAsia" w:ascii="Times New Roman"/>
          <w:highlight w:val="none"/>
          <w:lang w:val="en-US" w:eastAsia="zh-CN"/>
        </w:rPr>
        <w:t xml:space="preserve"> </w:t>
      </w:r>
      <w:r>
        <w:rPr>
          <w:rFonts w:ascii="Times New Roman"/>
          <w:highlight w:val="none"/>
        </w:rPr>
        <w:t>驱动耙</w:t>
      </w:r>
    </w:p>
    <w:p w14:paraId="640377CC">
      <w:pPr>
        <w:pStyle w:val="57"/>
        <w:tabs>
          <w:tab w:val="center" w:pos="4201"/>
          <w:tab w:val="right" w:leader="dot" w:pos="9298"/>
        </w:tabs>
        <w:ind w:firstLine="420"/>
        <w:rPr>
          <w:rFonts w:ascii="Times New Roman"/>
          <w:highlight w:val="none"/>
        </w:rPr>
      </w:pPr>
      <w:r>
        <w:rPr>
          <w:rFonts w:ascii="Times New Roman"/>
          <w:highlight w:val="none"/>
        </w:rPr>
        <w:t>GB/T 50085 喷灌工程技术规范</w:t>
      </w:r>
    </w:p>
    <w:p w14:paraId="0459C19E">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GB 50288</w:t>
      </w:r>
      <w:r>
        <w:rPr>
          <w:rFonts w:hint="eastAsia" w:ascii="Times New Roman"/>
          <w:szCs w:val="21"/>
          <w:highlight w:val="none"/>
          <w:lang w:val="en-US" w:eastAsia="zh-CN"/>
        </w:rPr>
        <w:t xml:space="preserve"> </w:t>
      </w:r>
      <w:r>
        <w:rPr>
          <w:rFonts w:hint="eastAsia" w:ascii="Times New Roman"/>
          <w:szCs w:val="21"/>
          <w:highlight w:val="none"/>
        </w:rPr>
        <w:t>灌溉与排水工程设计标准</w:t>
      </w:r>
    </w:p>
    <w:p w14:paraId="369638DE">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309</w:t>
      </w:r>
      <w:r>
        <w:rPr>
          <w:rFonts w:hint="eastAsia" w:ascii="Times New Roman"/>
          <w:szCs w:val="21"/>
          <w:highlight w:val="none"/>
          <w:lang w:val="en-US" w:eastAsia="zh-CN"/>
        </w:rPr>
        <w:t xml:space="preserve"> </w:t>
      </w:r>
      <w:r>
        <w:rPr>
          <w:rFonts w:hint="eastAsia" w:ascii="Times New Roman"/>
          <w:szCs w:val="21"/>
          <w:highlight w:val="none"/>
        </w:rPr>
        <w:t>全国耕地类型区、耕地地力等级划分</w:t>
      </w:r>
    </w:p>
    <w:p w14:paraId="69BEBEC2">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310</w:t>
      </w:r>
      <w:r>
        <w:rPr>
          <w:rFonts w:hint="eastAsia" w:ascii="Times New Roman"/>
          <w:szCs w:val="21"/>
          <w:highlight w:val="none"/>
          <w:lang w:val="en-US" w:eastAsia="zh-CN"/>
        </w:rPr>
        <w:t xml:space="preserve"> </w:t>
      </w:r>
      <w:r>
        <w:rPr>
          <w:rFonts w:hint="eastAsia" w:ascii="Times New Roman"/>
          <w:szCs w:val="21"/>
          <w:highlight w:val="none"/>
        </w:rPr>
        <w:t>全国中低产田类型划分与改良技术规范</w:t>
      </w:r>
    </w:p>
    <w:p w14:paraId="324E8C1F">
      <w:pPr>
        <w:pStyle w:val="57"/>
        <w:tabs>
          <w:tab w:val="center" w:pos="4201"/>
          <w:tab w:val="right" w:leader="dot" w:pos="9298"/>
        </w:tabs>
        <w:ind w:firstLine="420"/>
        <w:rPr>
          <w:rFonts w:ascii="Times New Roman"/>
          <w:highlight w:val="none"/>
        </w:rPr>
      </w:pPr>
      <w:r>
        <w:rPr>
          <w:rFonts w:ascii="Times New Roman"/>
          <w:highlight w:val="none"/>
        </w:rPr>
        <w:t>NY</w:t>
      </w:r>
      <w:r>
        <w:rPr>
          <w:rFonts w:hint="eastAsia" w:ascii="Times New Roman"/>
          <w:highlight w:val="none"/>
        </w:rPr>
        <w:t>/</w:t>
      </w:r>
      <w:r>
        <w:rPr>
          <w:rFonts w:ascii="Times New Roman"/>
          <w:highlight w:val="none"/>
        </w:rPr>
        <w:t xml:space="preserve">T </w:t>
      </w:r>
      <w:r>
        <w:rPr>
          <w:rFonts w:hint="eastAsia" w:ascii="Times New Roman"/>
          <w:highlight w:val="none"/>
        </w:rPr>
        <w:t>499</w:t>
      </w:r>
      <w:r>
        <w:rPr>
          <w:rFonts w:ascii="Times New Roman"/>
          <w:highlight w:val="none"/>
        </w:rPr>
        <w:t xml:space="preserve"> </w:t>
      </w:r>
      <w:r>
        <w:rPr>
          <w:rFonts w:hint="eastAsia" w:ascii="Times New Roman"/>
          <w:highlight w:val="none"/>
        </w:rPr>
        <w:t>旋耕机 作业质量</w:t>
      </w:r>
    </w:p>
    <w:p w14:paraId="0A62441A">
      <w:pPr>
        <w:pStyle w:val="57"/>
        <w:tabs>
          <w:tab w:val="center" w:pos="4201"/>
          <w:tab w:val="right" w:leader="dot" w:pos="9298"/>
        </w:tabs>
        <w:ind w:firstLine="420"/>
        <w:rPr>
          <w:rFonts w:ascii="Times New Roman"/>
          <w:highlight w:val="none"/>
        </w:rPr>
      </w:pPr>
      <w:r>
        <w:rPr>
          <w:rFonts w:ascii="Times New Roman"/>
          <w:highlight w:val="none"/>
        </w:rPr>
        <w:t>NY</w:t>
      </w:r>
      <w:r>
        <w:rPr>
          <w:rFonts w:hint="eastAsia" w:ascii="Times New Roman"/>
          <w:highlight w:val="none"/>
        </w:rPr>
        <w:t>/</w:t>
      </w:r>
      <w:r>
        <w:rPr>
          <w:rFonts w:ascii="Times New Roman"/>
          <w:highlight w:val="none"/>
        </w:rPr>
        <w:t>T 500 秸秆粉碎还田机</w:t>
      </w:r>
      <w:r>
        <w:rPr>
          <w:rFonts w:hint="eastAsia" w:ascii="Times New Roman"/>
          <w:highlight w:val="none"/>
        </w:rPr>
        <w:t xml:space="preserve"> </w:t>
      </w:r>
      <w:r>
        <w:rPr>
          <w:rFonts w:ascii="Times New Roman"/>
          <w:highlight w:val="none"/>
        </w:rPr>
        <w:t>作业质量</w:t>
      </w:r>
    </w:p>
    <w:p w14:paraId="093B3B9B">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525</w:t>
      </w:r>
      <w:r>
        <w:rPr>
          <w:rFonts w:hint="eastAsia" w:ascii="Times New Roman"/>
          <w:szCs w:val="21"/>
          <w:highlight w:val="none"/>
          <w:lang w:val="en-US" w:eastAsia="zh-CN"/>
        </w:rPr>
        <w:t xml:space="preserve"> </w:t>
      </w:r>
      <w:r>
        <w:rPr>
          <w:rFonts w:hint="eastAsia" w:ascii="Times New Roman"/>
          <w:szCs w:val="21"/>
          <w:highlight w:val="none"/>
        </w:rPr>
        <w:t>有机肥料</w:t>
      </w:r>
    </w:p>
    <w:p w14:paraId="76DB4DD1">
      <w:pPr>
        <w:pStyle w:val="57"/>
        <w:tabs>
          <w:tab w:val="center" w:pos="4201"/>
          <w:tab w:val="right" w:leader="dot" w:pos="9298"/>
        </w:tabs>
        <w:ind w:firstLine="420"/>
        <w:rPr>
          <w:rFonts w:ascii="Times New Roman"/>
          <w:highlight w:val="none"/>
        </w:rPr>
      </w:pPr>
      <w:r>
        <w:rPr>
          <w:rFonts w:hint="eastAsia" w:ascii="Times New Roman"/>
          <w:highlight w:val="none"/>
        </w:rPr>
        <w:t>NY/T 645 玉米收获机 质量评价技术规范</w:t>
      </w:r>
    </w:p>
    <w:p w14:paraId="593FC860">
      <w:pPr>
        <w:pStyle w:val="57"/>
        <w:tabs>
          <w:tab w:val="center" w:pos="4201"/>
          <w:tab w:val="right" w:leader="dot" w:pos="9298"/>
        </w:tabs>
        <w:ind w:firstLine="420"/>
        <w:rPr>
          <w:rFonts w:hint="eastAsia" w:ascii="Times New Roman" w:eastAsia="宋体"/>
          <w:szCs w:val="21"/>
          <w:highlight w:val="none"/>
          <w:lang w:val="en-US" w:eastAsia="zh-CN"/>
        </w:rPr>
      </w:pPr>
      <w:r>
        <w:rPr>
          <w:rFonts w:hint="eastAsia" w:ascii="Times New Roman"/>
          <w:szCs w:val="21"/>
          <w:highlight w:val="none"/>
        </w:rPr>
        <w:t>NY/T 742</w:t>
      </w:r>
      <w:r>
        <w:rPr>
          <w:rFonts w:hint="eastAsia" w:ascii="Times New Roman"/>
          <w:szCs w:val="21"/>
          <w:highlight w:val="none"/>
          <w:lang w:val="en-US" w:eastAsia="zh-CN"/>
        </w:rPr>
        <w:t xml:space="preserve"> 铧式犁 作业质量</w:t>
      </w:r>
    </w:p>
    <w:p w14:paraId="564549DA">
      <w:pPr>
        <w:pStyle w:val="57"/>
        <w:tabs>
          <w:tab w:val="center" w:pos="4201"/>
          <w:tab w:val="right" w:leader="dot" w:pos="9298"/>
        </w:tabs>
        <w:ind w:firstLine="420"/>
        <w:rPr>
          <w:rFonts w:ascii="Times New Roman"/>
          <w:szCs w:val="21"/>
          <w:highlight w:val="none"/>
        </w:rPr>
      </w:pPr>
      <w:r>
        <w:rPr>
          <w:rFonts w:hint="eastAsia" w:ascii="Times New Roman"/>
          <w:szCs w:val="21"/>
          <w:highlight w:val="none"/>
        </w:rPr>
        <w:t>NY/T 995 谷物联合收割机 作业质量</w:t>
      </w:r>
    </w:p>
    <w:p w14:paraId="6689FCE1">
      <w:pPr>
        <w:pStyle w:val="57"/>
        <w:tabs>
          <w:tab w:val="center" w:pos="4201"/>
          <w:tab w:val="right" w:leader="dot" w:pos="9298"/>
        </w:tabs>
        <w:ind w:firstLine="420"/>
        <w:rPr>
          <w:rFonts w:ascii="Times New Roman"/>
          <w:highlight w:val="none"/>
        </w:rPr>
      </w:pPr>
      <w:r>
        <w:rPr>
          <w:rFonts w:ascii="Times New Roman"/>
          <w:highlight w:val="none"/>
        </w:rPr>
        <w:t>NY/T 1143</w:t>
      </w:r>
      <w:r>
        <w:rPr>
          <w:rFonts w:hint="eastAsia" w:ascii="Times New Roman"/>
          <w:highlight w:val="none"/>
          <w:lang w:val="en-US" w:eastAsia="zh-CN"/>
        </w:rPr>
        <w:t xml:space="preserve"> </w:t>
      </w:r>
      <w:r>
        <w:rPr>
          <w:rFonts w:ascii="Times New Roman"/>
          <w:highlight w:val="none"/>
        </w:rPr>
        <w:t>播种机 质量评价技术规范</w:t>
      </w:r>
    </w:p>
    <w:p w14:paraId="1CB70D0F">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1229《旋耕施肥播种联合作业机 作业质量》</w:t>
      </w:r>
    </w:p>
    <w:p w14:paraId="3B2F2502">
      <w:pPr>
        <w:pStyle w:val="57"/>
        <w:tabs>
          <w:tab w:val="center" w:pos="4201"/>
          <w:tab w:val="right" w:leader="dot" w:pos="9298"/>
        </w:tabs>
        <w:ind w:firstLine="420"/>
        <w:rPr>
          <w:rFonts w:ascii="Times New Roman"/>
          <w:szCs w:val="21"/>
          <w:highlight w:val="none"/>
        </w:rPr>
      </w:pPr>
      <w:r>
        <w:rPr>
          <w:rFonts w:hint="eastAsia" w:ascii="Times New Roman"/>
          <w:szCs w:val="21"/>
          <w:highlight w:val="none"/>
        </w:rPr>
        <w:t>NY/T 1276 农药安全使用规范 总则</w:t>
      </w:r>
    </w:p>
    <w:p w14:paraId="1AAB9E63">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1634 耕地地力调查与质量评价技术规程</w:t>
      </w:r>
    </w:p>
    <w:p w14:paraId="44E7FB94">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1997 除草剂安全使用技术规范 通则</w:t>
      </w:r>
    </w:p>
    <w:p w14:paraId="12188113">
      <w:pPr>
        <w:pStyle w:val="57"/>
        <w:tabs>
          <w:tab w:val="center" w:pos="4201"/>
          <w:tab w:val="right" w:leader="dot" w:pos="9298"/>
        </w:tabs>
        <w:ind w:firstLine="420"/>
        <w:rPr>
          <w:rFonts w:hint="default" w:ascii="Times New Roman" w:eastAsia="宋体"/>
          <w:szCs w:val="21"/>
          <w:highlight w:val="none"/>
          <w:lang w:val="en-US" w:eastAsia="zh-CN"/>
        </w:rPr>
      </w:pPr>
      <w:r>
        <w:rPr>
          <w:rFonts w:hint="eastAsia" w:ascii="Times New Roman"/>
          <w:szCs w:val="21"/>
          <w:highlight w:val="none"/>
        </w:rPr>
        <w:t xml:space="preserve">NY/T </w:t>
      </w:r>
      <w:r>
        <w:rPr>
          <w:rFonts w:hint="eastAsia" w:ascii="Times New Roman"/>
          <w:szCs w:val="21"/>
          <w:highlight w:val="none"/>
          <w:lang w:val="en-US" w:eastAsia="zh-CN"/>
        </w:rPr>
        <w:t>2624 水肥一体化技术规范 总则</w:t>
      </w:r>
    </w:p>
    <w:p w14:paraId="70B66DE4">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2845</w:t>
      </w:r>
      <w:r>
        <w:rPr>
          <w:rFonts w:hint="eastAsia" w:ascii="Times New Roman"/>
          <w:szCs w:val="21"/>
          <w:highlight w:val="none"/>
          <w:lang w:val="en-US" w:eastAsia="zh-CN"/>
        </w:rPr>
        <w:t xml:space="preserve">  </w:t>
      </w:r>
      <w:r>
        <w:rPr>
          <w:rFonts w:hint="eastAsia" w:ascii="Times New Roman"/>
          <w:szCs w:val="21"/>
          <w:highlight w:val="none"/>
        </w:rPr>
        <w:t>深松机 作业质量</w:t>
      </w:r>
    </w:p>
    <w:p w14:paraId="391A02FB">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3034</w:t>
      </w:r>
      <w:r>
        <w:rPr>
          <w:rFonts w:hint="eastAsia" w:ascii="Times New Roman"/>
          <w:szCs w:val="21"/>
          <w:highlight w:val="none"/>
          <w:lang w:val="en-US" w:eastAsia="zh-CN"/>
        </w:rPr>
        <w:t xml:space="preserve"> </w:t>
      </w:r>
      <w:r>
        <w:rPr>
          <w:rFonts w:hint="eastAsia" w:ascii="Times New Roman"/>
          <w:szCs w:val="21"/>
          <w:highlight w:val="none"/>
        </w:rPr>
        <w:t>土壤调理剂</w:t>
      </w:r>
    </w:p>
    <w:p w14:paraId="0E913FD1">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3443</w:t>
      </w:r>
      <w:r>
        <w:rPr>
          <w:rFonts w:hint="eastAsia" w:ascii="Times New Roman"/>
          <w:szCs w:val="21"/>
          <w:highlight w:val="none"/>
          <w:lang w:val="en-US" w:eastAsia="zh-CN"/>
        </w:rPr>
        <w:t xml:space="preserve"> </w:t>
      </w:r>
      <w:r>
        <w:rPr>
          <w:rFonts w:hint="eastAsia" w:ascii="Times New Roman"/>
          <w:szCs w:val="21"/>
          <w:highlight w:val="none"/>
        </w:rPr>
        <w:t>石灰质改良酸化土壤技术规范</w:t>
      </w:r>
    </w:p>
    <w:p w14:paraId="12AB3EC6">
      <w:pPr>
        <w:pStyle w:val="57"/>
        <w:tabs>
          <w:tab w:val="center" w:pos="4201"/>
          <w:tab w:val="right" w:leader="dot" w:pos="9298"/>
        </w:tabs>
        <w:ind w:firstLine="420"/>
        <w:rPr>
          <w:rFonts w:ascii="Times New Roman"/>
          <w:szCs w:val="21"/>
          <w:highlight w:val="none"/>
        </w:rPr>
      </w:pPr>
      <w:r>
        <w:rPr>
          <w:rFonts w:hint="eastAsia" w:ascii="Times New Roman"/>
          <w:szCs w:val="21"/>
          <w:highlight w:val="none"/>
        </w:rPr>
        <w:t>NY/T 4258 植保无人飞机 作业质量</w:t>
      </w:r>
    </w:p>
    <w:p w14:paraId="0C3BCD93">
      <w:pPr>
        <w:pStyle w:val="57"/>
        <w:tabs>
          <w:tab w:val="center" w:pos="4201"/>
          <w:tab w:val="right" w:leader="dot" w:pos="9298"/>
        </w:tabs>
        <w:ind w:firstLine="420"/>
        <w:rPr>
          <w:rFonts w:hint="eastAsia" w:ascii="Times New Roman"/>
          <w:highlight w:val="none"/>
        </w:rPr>
      </w:pPr>
      <w:r>
        <w:rPr>
          <w:rFonts w:hint="eastAsia" w:ascii="Times New Roman"/>
          <w:highlight w:val="none"/>
        </w:rPr>
        <w:t>NY/T 4770</w:t>
      </w:r>
      <w:r>
        <w:rPr>
          <w:rFonts w:hint="eastAsia" w:ascii="Times New Roman"/>
          <w:highlight w:val="none"/>
          <w:lang w:val="en-US" w:eastAsia="zh-CN"/>
        </w:rPr>
        <w:t xml:space="preserve"> </w:t>
      </w:r>
      <w:r>
        <w:rPr>
          <w:rFonts w:hint="eastAsia" w:ascii="Times New Roman"/>
          <w:highlight w:val="none"/>
        </w:rPr>
        <w:t>黄淮海地区小麦玉米周年产能提升技术规范</w:t>
      </w:r>
    </w:p>
    <w:p w14:paraId="08DF7DCC">
      <w:pPr>
        <w:pStyle w:val="57"/>
        <w:tabs>
          <w:tab w:val="center" w:pos="4201"/>
          <w:tab w:val="right" w:leader="dot" w:pos="9298"/>
        </w:tabs>
        <w:ind w:firstLine="420"/>
        <w:rPr>
          <w:rFonts w:hint="eastAsia" w:ascii="Times New Roman"/>
          <w:highlight w:val="none"/>
        </w:rPr>
      </w:pPr>
      <w:r>
        <w:rPr>
          <w:rFonts w:hint="eastAsia" w:ascii="Times New Roman"/>
          <w:highlight w:val="none"/>
        </w:rPr>
        <w:t>NY/T 4816</w:t>
      </w:r>
      <w:r>
        <w:rPr>
          <w:rFonts w:hint="eastAsia" w:ascii="Times New Roman"/>
          <w:highlight w:val="none"/>
          <w:lang w:val="en-US" w:eastAsia="zh-CN"/>
        </w:rPr>
        <w:t xml:space="preserve"> </w:t>
      </w:r>
      <w:r>
        <w:rPr>
          <w:rFonts w:hint="eastAsia" w:ascii="Times New Roman"/>
          <w:highlight w:val="none"/>
        </w:rPr>
        <w:t>主要粮食作物化肥合理施用技术规范</w:t>
      </w:r>
    </w:p>
    <w:p w14:paraId="4E93FBE2">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QX/T 82 小麦干热风灾害等级</w:t>
      </w:r>
    </w:p>
    <w:p w14:paraId="48DE942B">
      <w:pPr>
        <w:pStyle w:val="57"/>
        <w:tabs>
          <w:tab w:val="center" w:pos="4201"/>
          <w:tab w:val="right" w:leader="dot" w:pos="9298"/>
        </w:tabs>
        <w:ind w:firstLine="420"/>
        <w:rPr>
          <w:rFonts w:hint="eastAsia" w:ascii="Times New Roman"/>
          <w:szCs w:val="21"/>
          <w:highlight w:val="none"/>
        </w:rPr>
      </w:pPr>
      <w:r>
        <w:rPr>
          <w:rFonts w:hint="eastAsia" w:ascii="Times New Roman"/>
          <w:szCs w:val="21"/>
          <w:highlight w:val="none"/>
        </w:rPr>
        <w:t>NY/T 2284</w:t>
      </w:r>
      <w:r>
        <w:rPr>
          <w:rFonts w:hint="eastAsia" w:ascii="Times New Roman"/>
          <w:szCs w:val="21"/>
          <w:highlight w:val="none"/>
          <w:lang w:val="en-US" w:eastAsia="zh-CN"/>
        </w:rPr>
        <w:t xml:space="preserve"> </w:t>
      </w:r>
      <w:r>
        <w:rPr>
          <w:rFonts w:hint="eastAsia" w:ascii="Times New Roman"/>
          <w:szCs w:val="21"/>
          <w:highlight w:val="none"/>
        </w:rPr>
        <w:t>玉米气象灾害田间调查及分级技术规范</w:t>
      </w:r>
    </w:p>
    <w:p w14:paraId="236D8ABB">
      <w:pPr>
        <w:pStyle w:val="57"/>
        <w:tabs>
          <w:tab w:val="center" w:pos="4201"/>
          <w:tab w:val="right" w:leader="dot" w:pos="9298"/>
        </w:tabs>
        <w:ind w:firstLine="420"/>
        <w:rPr>
          <w:rFonts w:ascii="Times New Roman"/>
          <w:szCs w:val="21"/>
          <w:highlight w:val="none"/>
        </w:rPr>
      </w:pPr>
      <w:r>
        <w:rPr>
          <w:rFonts w:hint="eastAsia" w:ascii="Times New Roman"/>
          <w:szCs w:val="21"/>
          <w:highlight w:val="none"/>
        </w:rPr>
        <w:t>T/JSGS 025 冬小麦—夏玉米轮作水肥一体化智能喷灌技术规程</w:t>
      </w:r>
    </w:p>
    <w:p w14:paraId="2DDBD34E">
      <w:pPr>
        <w:pStyle w:val="2"/>
        <w:widowControl/>
        <w:numPr>
          <w:ilvl w:val="0"/>
          <w:numId w:val="18"/>
        </w:numPr>
        <w:spacing w:before="156" w:beforeLines="50" w:after="156" w:afterLines="50" w:line="240" w:lineRule="auto"/>
        <w:jc w:val="left"/>
        <w:rPr>
          <w:rFonts w:eastAsia="黑体"/>
          <w:b w:val="0"/>
          <w:sz w:val="21"/>
          <w:szCs w:val="20"/>
        </w:rPr>
      </w:pPr>
      <w:bookmarkStart w:id="44" w:name="_Toc11665"/>
      <w:bookmarkStart w:id="45" w:name="_Toc235478381"/>
      <w:bookmarkStart w:id="46" w:name="_Toc25485"/>
      <w:bookmarkStart w:id="47" w:name="_Toc87970155"/>
      <w:bookmarkStart w:id="48" w:name="_Toc96948175"/>
      <w:r>
        <w:rPr>
          <w:rFonts w:eastAsia="黑体"/>
          <w:b w:val="0"/>
          <w:sz w:val="21"/>
          <w:szCs w:val="20"/>
        </w:rPr>
        <w:t>术语和定义</w:t>
      </w:r>
      <w:bookmarkEnd w:id="44"/>
      <w:bookmarkEnd w:id="45"/>
      <w:bookmarkEnd w:id="46"/>
      <w:bookmarkEnd w:id="47"/>
      <w:bookmarkEnd w:id="48"/>
    </w:p>
    <w:bookmarkEnd w:id="14"/>
    <w:bookmarkEnd w:id="15"/>
    <w:p w14:paraId="65461E37">
      <w:pPr>
        <w:widowControl/>
        <w:ind w:firstLine="420" w:firstLineChars="200"/>
        <w:jc w:val="left"/>
        <w:rPr>
          <w:szCs w:val="21"/>
        </w:rPr>
      </w:pPr>
      <w:bookmarkStart w:id="49" w:name="_Toc237936494"/>
      <w:bookmarkStart w:id="50" w:name="_Toc198912926"/>
      <w:bookmarkStart w:id="51" w:name="_Toc237922325"/>
      <w:bookmarkStart w:id="52" w:name="_Toc226886652"/>
      <w:bookmarkStart w:id="53" w:name="_Toc237923092"/>
      <w:bookmarkStart w:id="54" w:name="_Toc257651482"/>
      <w:bookmarkStart w:id="55" w:name="_Toc237923148"/>
      <w:bookmarkStart w:id="56" w:name="_Toc232490484"/>
      <w:bookmarkStart w:id="57" w:name="_Toc89694593"/>
      <w:bookmarkStart w:id="58" w:name="_Toc237922984"/>
      <w:bookmarkStart w:id="59" w:name="_Toc226343429"/>
      <w:bookmarkStart w:id="60" w:name="_Toc199206121"/>
      <w:bookmarkStart w:id="61" w:name="_Toc232481520"/>
      <w:r>
        <w:rPr>
          <w:rFonts w:hint="eastAsia"/>
          <w:szCs w:val="21"/>
        </w:rPr>
        <w:t>下列术语和定义适用于本文件。</w:t>
      </w:r>
    </w:p>
    <w:p w14:paraId="4E021DBD">
      <w:pPr>
        <w:keepNext/>
        <w:keepLines/>
        <w:rPr>
          <w:rFonts w:eastAsia="黑体"/>
          <w:color w:val="000000"/>
          <w:szCs w:val="21"/>
        </w:rPr>
      </w:pPr>
      <w:r>
        <w:rPr>
          <w:rFonts w:hint="eastAsia" w:eastAsia="黑体"/>
          <w:color w:val="000000"/>
          <w:szCs w:val="21"/>
        </w:rPr>
        <w:t>3.1</w:t>
      </w:r>
    </w:p>
    <w:p w14:paraId="423BBBDE">
      <w:pPr>
        <w:ind w:firstLine="420" w:firstLineChars="200"/>
        <w:rPr>
          <w:rFonts w:eastAsia="黑体"/>
          <w:kern w:val="0"/>
          <w:szCs w:val="21"/>
        </w:rPr>
      </w:pPr>
      <w:r>
        <w:rPr>
          <w:rFonts w:hint="eastAsia" w:eastAsia="黑体"/>
          <w:kern w:val="0"/>
          <w:szCs w:val="21"/>
        </w:rPr>
        <w:t>耕地地力提升farmland fertility improvement</w:t>
      </w:r>
    </w:p>
    <w:p w14:paraId="08A3162F">
      <w:pPr>
        <w:numPr>
          <w:ilvl w:val="0"/>
          <w:numId w:val="0"/>
        </w:numPr>
        <w:ind w:leftChars="0" w:firstLine="420" w:firstLineChars="200"/>
        <w:rPr>
          <w:rFonts w:hint="default" w:eastAsia="宋体"/>
          <w:kern w:val="0"/>
          <w:szCs w:val="21"/>
          <w:lang w:val="en-US" w:eastAsia="zh-CN"/>
        </w:rPr>
      </w:pPr>
      <w:r>
        <w:rPr>
          <w:rFonts w:hint="eastAsia"/>
          <w:kern w:val="0"/>
          <w:szCs w:val="21"/>
        </w:rPr>
        <w:t>为改善</w:t>
      </w:r>
      <w:r>
        <w:rPr>
          <w:rFonts w:hint="eastAsia"/>
          <w:kern w:val="0"/>
          <w:szCs w:val="21"/>
          <w:lang w:val="en-US" w:eastAsia="zh-CN"/>
        </w:rPr>
        <w:t>耕地</w:t>
      </w:r>
      <w:r>
        <w:rPr>
          <w:rFonts w:hint="eastAsia"/>
          <w:kern w:val="0"/>
          <w:szCs w:val="21"/>
        </w:rPr>
        <w:t>土壤理化及生物性状，提升土壤基础肥力，增强农田综合生产能力所采取的工程、农艺、生物、化学等综合技术措施</w:t>
      </w:r>
      <w:r>
        <w:rPr>
          <w:rFonts w:hint="eastAsia"/>
          <w:kern w:val="0"/>
          <w:szCs w:val="21"/>
          <w:lang w:eastAsia="zh-CN"/>
        </w:rPr>
        <w:t>，</w:t>
      </w:r>
      <w:r>
        <w:rPr>
          <w:rFonts w:hint="eastAsia"/>
          <w:kern w:val="0"/>
          <w:szCs w:val="21"/>
          <w:lang w:val="en-US" w:eastAsia="zh-CN"/>
        </w:rPr>
        <w:t>包括</w:t>
      </w:r>
      <w:r>
        <w:rPr>
          <w:rFonts w:hint="eastAsia"/>
          <w:kern w:val="0"/>
          <w:szCs w:val="21"/>
          <w:highlight w:val="none"/>
          <w:lang w:val="en-US" w:eastAsia="zh-CN"/>
        </w:rPr>
        <w:t>深耕作业、</w:t>
      </w:r>
      <w:r>
        <w:rPr>
          <w:rFonts w:hint="eastAsia"/>
          <w:kern w:val="0"/>
          <w:szCs w:val="21"/>
          <w:highlight w:val="none"/>
        </w:rPr>
        <w:t>深松作业</w:t>
      </w:r>
      <w:r>
        <w:rPr>
          <w:rFonts w:hint="eastAsia"/>
          <w:kern w:val="0"/>
          <w:szCs w:val="21"/>
          <w:highlight w:val="none"/>
          <w:lang w:eastAsia="zh-CN"/>
        </w:rPr>
        <w:t>、</w:t>
      </w:r>
      <w:r>
        <w:rPr>
          <w:rFonts w:hint="eastAsia"/>
          <w:kern w:val="0"/>
          <w:szCs w:val="21"/>
          <w:highlight w:val="none"/>
          <w:lang w:val="en-US" w:eastAsia="zh-CN"/>
        </w:rPr>
        <w:t>秸秆粉碎还田、有机肥和土壤调理剂施用、灌排工程配套等。</w:t>
      </w:r>
    </w:p>
    <w:p w14:paraId="7396B714">
      <w:pPr>
        <w:rPr>
          <w:kern w:val="0"/>
          <w:szCs w:val="21"/>
        </w:rPr>
      </w:pPr>
      <w:r>
        <w:rPr>
          <w:rFonts w:hint="eastAsia"/>
          <w:kern w:val="0"/>
          <w:szCs w:val="21"/>
        </w:rPr>
        <w:t>3.2</w:t>
      </w:r>
    </w:p>
    <w:p w14:paraId="77FA6855">
      <w:pPr>
        <w:ind w:firstLine="420" w:firstLineChars="200"/>
        <w:rPr>
          <w:rFonts w:eastAsia="黑体"/>
          <w:kern w:val="0"/>
          <w:szCs w:val="21"/>
        </w:rPr>
      </w:pPr>
      <w:r>
        <w:rPr>
          <w:rFonts w:hint="eastAsia" w:eastAsia="黑体"/>
          <w:kern w:val="0"/>
          <w:szCs w:val="21"/>
        </w:rPr>
        <w:t>科学施肥scientific fertilization</w:t>
      </w:r>
    </w:p>
    <w:p w14:paraId="5C817EA3">
      <w:pPr>
        <w:ind w:firstLine="420" w:firstLineChars="200"/>
        <w:rPr>
          <w:kern w:val="0"/>
          <w:szCs w:val="21"/>
        </w:rPr>
      </w:pPr>
      <w:r>
        <w:rPr>
          <w:rFonts w:hint="eastAsia"/>
          <w:kern w:val="0"/>
          <w:szCs w:val="21"/>
        </w:rPr>
        <w:t>基于土壤养分诊断与作物需肥规律，应用新型肥料、智能装备与精准调控技术，实现养分按需供给、绿色环保的施肥方式。</w:t>
      </w:r>
    </w:p>
    <w:p w14:paraId="6EE4137F">
      <w:pPr>
        <w:rPr>
          <w:kern w:val="0"/>
          <w:szCs w:val="21"/>
        </w:rPr>
      </w:pPr>
      <w:r>
        <w:rPr>
          <w:rFonts w:hint="eastAsia"/>
          <w:kern w:val="0"/>
          <w:szCs w:val="21"/>
        </w:rPr>
        <w:t>3.3</w:t>
      </w:r>
    </w:p>
    <w:p w14:paraId="3ECCD8A3">
      <w:pPr>
        <w:ind w:firstLine="420" w:firstLineChars="200"/>
        <w:rPr>
          <w:rFonts w:eastAsia="黑体"/>
          <w:kern w:val="0"/>
          <w:szCs w:val="21"/>
        </w:rPr>
      </w:pPr>
      <w:r>
        <w:rPr>
          <w:rFonts w:hint="eastAsia" w:eastAsia="黑体"/>
          <w:kern w:val="0"/>
          <w:szCs w:val="21"/>
        </w:rPr>
        <w:t>农田小气候调节技术farmland microclimate regulation technology</w:t>
      </w:r>
    </w:p>
    <w:p w14:paraId="539FB576">
      <w:pPr>
        <w:ind w:firstLine="420" w:firstLineChars="200"/>
        <w:rPr>
          <w:kern w:val="0"/>
          <w:szCs w:val="21"/>
        </w:rPr>
      </w:pPr>
      <w:r>
        <w:rPr>
          <w:rFonts w:hint="eastAsia"/>
          <w:kern w:val="0"/>
          <w:szCs w:val="21"/>
        </w:rPr>
        <w:t>采用短时微量喷灌模式，定向调节农田近地空气与作物冠层温湿度，专项防控小麦灌浆期干热风、玉米抽雄授粉阶段高温热害的农田微环境调控技术。</w:t>
      </w:r>
    </w:p>
    <w:p w14:paraId="31015E50">
      <w:pPr>
        <w:pStyle w:val="2"/>
        <w:widowControl/>
        <w:numPr>
          <w:ilvl w:val="0"/>
          <w:numId w:val="18"/>
        </w:numPr>
        <w:spacing w:before="156" w:beforeLines="50" w:after="156" w:afterLines="50" w:line="240" w:lineRule="auto"/>
        <w:jc w:val="left"/>
        <w:rPr>
          <w:rFonts w:eastAsia="黑体"/>
          <w:b w:val="0"/>
          <w:sz w:val="21"/>
          <w:szCs w:val="20"/>
        </w:rPr>
      </w:pPr>
      <w:bookmarkStart w:id="62" w:name="_Toc235478382"/>
      <w:bookmarkStart w:id="63" w:name="_Toc20504"/>
      <w:r>
        <w:rPr>
          <w:rFonts w:hint="eastAsia" w:eastAsia="黑体"/>
          <w:b w:val="0"/>
          <w:sz w:val="21"/>
          <w:szCs w:val="20"/>
        </w:rPr>
        <w:t>总体要求</w:t>
      </w:r>
      <w:bookmarkEnd w:id="62"/>
      <w:bookmarkEnd w:id="63"/>
    </w:p>
    <w:p w14:paraId="72D32DB5">
      <w:pPr>
        <w:keepNext w:val="0"/>
        <w:keepLines w:val="0"/>
        <w:pageBreakBefore w:val="0"/>
        <w:widowControl w:val="0"/>
        <w:numPr>
          <w:ilvl w:val="1"/>
          <w:numId w:val="18"/>
        </w:numPr>
        <w:kinsoku/>
        <w:wordWrap/>
        <w:overflowPunct/>
        <w:topLinePunct w:val="0"/>
        <w:autoSpaceDE/>
        <w:autoSpaceDN/>
        <w:bidi w:val="0"/>
        <w:adjustRightInd/>
        <w:snapToGrid/>
        <w:ind w:left="0" w:leftChars="0" w:firstLine="0" w:firstLineChars="0"/>
        <w:textAlignment w:val="auto"/>
        <w:rPr>
          <w:rFonts w:hint="eastAsia"/>
          <w:color w:val="auto"/>
          <w:kern w:val="0"/>
          <w:szCs w:val="21"/>
          <w:lang w:val="en-US" w:eastAsia="zh-CN"/>
        </w:rPr>
      </w:pPr>
      <w:r>
        <w:rPr>
          <w:rFonts w:hint="eastAsia"/>
          <w:kern w:val="0"/>
          <w:szCs w:val="21"/>
          <w:lang w:val="en-US" w:eastAsia="zh-CN"/>
        </w:rPr>
        <w:t>喷灌条件下产能提升技术包括耕地地力</w:t>
      </w:r>
      <w:r>
        <w:rPr>
          <w:rFonts w:hint="eastAsia"/>
          <w:color w:val="auto"/>
          <w:kern w:val="0"/>
          <w:szCs w:val="21"/>
          <w:lang w:val="en-US" w:eastAsia="zh-CN"/>
        </w:rPr>
        <w:t>提升与耕作</w:t>
      </w:r>
      <w:r>
        <w:rPr>
          <w:color w:val="auto"/>
          <w:kern w:val="0"/>
          <w:szCs w:val="21"/>
          <w:lang w:val="en-US" w:eastAsia="zh-CN"/>
        </w:rPr>
        <w:t>播</w:t>
      </w:r>
      <w:r>
        <w:rPr>
          <w:rFonts w:hint="eastAsia"/>
          <w:color w:val="auto"/>
          <w:kern w:val="0"/>
          <w:szCs w:val="21"/>
          <w:lang w:val="en-US" w:eastAsia="zh-CN"/>
        </w:rPr>
        <w:t>种、适宜品种选配、新型农机装备应用、新型肥料选用、水肥精准调控、农田小气候调节及病虫草害防治等技术措施。</w:t>
      </w:r>
    </w:p>
    <w:p w14:paraId="6E642EC0">
      <w:pPr>
        <w:keepNext w:val="0"/>
        <w:keepLines w:val="0"/>
        <w:pageBreakBefore w:val="0"/>
        <w:widowControl w:val="0"/>
        <w:numPr>
          <w:ilvl w:val="1"/>
          <w:numId w:val="18"/>
        </w:numPr>
        <w:kinsoku/>
        <w:wordWrap/>
        <w:overflowPunct/>
        <w:topLinePunct w:val="0"/>
        <w:autoSpaceDE/>
        <w:autoSpaceDN/>
        <w:bidi w:val="0"/>
        <w:adjustRightInd/>
        <w:snapToGrid/>
        <w:ind w:left="0" w:leftChars="0" w:firstLine="0" w:firstLineChars="0"/>
        <w:textAlignment w:val="auto"/>
        <w:rPr>
          <w:rFonts w:hint="eastAsia"/>
          <w:color w:val="auto"/>
          <w:kern w:val="0"/>
          <w:szCs w:val="21"/>
          <w:highlight w:val="none"/>
          <w:lang w:val="en-US" w:eastAsia="zh-CN"/>
        </w:rPr>
      </w:pPr>
      <w:r>
        <w:rPr>
          <w:rFonts w:hint="eastAsia"/>
          <w:color w:val="auto"/>
          <w:kern w:val="0"/>
          <w:szCs w:val="21"/>
          <w:lang w:val="en-US" w:eastAsia="zh-CN"/>
        </w:rPr>
        <w:t>产能提升应遵循良田、良种、良机、良法一体化协同提质增效原则，通过多要素协同构建配套完善的综合技术体系。</w:t>
      </w:r>
    </w:p>
    <w:p w14:paraId="18BAAF34">
      <w:pPr>
        <w:keepNext w:val="0"/>
        <w:keepLines w:val="0"/>
        <w:pageBreakBefore w:val="0"/>
        <w:widowControl w:val="0"/>
        <w:numPr>
          <w:ilvl w:val="1"/>
          <w:numId w:val="18"/>
        </w:numPr>
        <w:kinsoku/>
        <w:wordWrap/>
        <w:overflowPunct/>
        <w:topLinePunct w:val="0"/>
        <w:autoSpaceDE/>
        <w:autoSpaceDN/>
        <w:bidi w:val="0"/>
        <w:adjustRightInd/>
        <w:snapToGrid/>
        <w:ind w:left="0" w:leftChars="0" w:firstLine="0" w:firstLineChars="0"/>
        <w:textAlignment w:val="auto"/>
        <w:rPr>
          <w:rFonts w:hint="eastAsia"/>
          <w:color w:val="auto"/>
          <w:kern w:val="0"/>
          <w:szCs w:val="21"/>
          <w:highlight w:val="none"/>
          <w:lang w:val="en-US" w:eastAsia="zh-CN"/>
        </w:rPr>
      </w:pPr>
      <w:r>
        <w:rPr>
          <w:rFonts w:hint="eastAsia"/>
          <w:color w:val="auto"/>
          <w:kern w:val="0"/>
          <w:szCs w:val="21"/>
          <w:highlight w:val="none"/>
          <w:lang w:val="en-US" w:eastAsia="zh-CN"/>
        </w:rPr>
        <w:t>综合技术体系暂不具备完整配套条件时，可单项选用产能提升技术。</w:t>
      </w:r>
    </w:p>
    <w:p w14:paraId="32771A67">
      <w:pPr>
        <w:keepNext w:val="0"/>
        <w:keepLines w:val="0"/>
        <w:pageBreakBefore w:val="0"/>
        <w:widowControl w:val="0"/>
        <w:numPr>
          <w:ilvl w:val="1"/>
          <w:numId w:val="18"/>
        </w:numPr>
        <w:kinsoku/>
        <w:wordWrap/>
        <w:overflowPunct/>
        <w:topLinePunct w:val="0"/>
        <w:autoSpaceDE/>
        <w:autoSpaceDN/>
        <w:bidi w:val="0"/>
        <w:adjustRightInd/>
        <w:snapToGrid/>
        <w:ind w:left="0" w:leftChars="0" w:firstLine="0" w:firstLineChars="0"/>
        <w:textAlignment w:val="auto"/>
        <w:rPr>
          <w:rFonts w:hint="eastAsia"/>
          <w:kern w:val="0"/>
          <w:szCs w:val="21"/>
          <w:highlight w:val="none"/>
          <w:lang w:val="en-US" w:eastAsia="zh-CN"/>
        </w:rPr>
      </w:pPr>
      <w:r>
        <w:rPr>
          <w:rFonts w:hint="eastAsia"/>
          <w:color w:val="auto"/>
          <w:kern w:val="0"/>
          <w:szCs w:val="21"/>
          <w:highlight w:val="none"/>
          <w:lang w:val="en-US" w:eastAsia="zh-CN"/>
        </w:rPr>
        <w:t>小麦、玉米种子应选用经品种审定、丰产性好、综合抗性强，并具备植物检疫合格</w:t>
      </w:r>
      <w:r>
        <w:rPr>
          <w:rFonts w:hint="eastAsia"/>
          <w:kern w:val="0"/>
          <w:szCs w:val="21"/>
          <w:highlight w:val="none"/>
          <w:lang w:val="en-US" w:eastAsia="zh-CN"/>
        </w:rPr>
        <w:t>证明的品种，种子质量应符合 GB 4404.1 的规定。</w:t>
      </w:r>
    </w:p>
    <w:p w14:paraId="6A1411E6">
      <w:pPr>
        <w:keepNext w:val="0"/>
        <w:keepLines w:val="0"/>
        <w:pageBreakBefore w:val="0"/>
        <w:widowControl w:val="0"/>
        <w:numPr>
          <w:ilvl w:val="1"/>
          <w:numId w:val="18"/>
        </w:numPr>
        <w:kinsoku/>
        <w:wordWrap/>
        <w:overflowPunct/>
        <w:topLinePunct w:val="0"/>
        <w:autoSpaceDE/>
        <w:autoSpaceDN/>
        <w:bidi w:val="0"/>
        <w:adjustRightInd/>
        <w:snapToGrid/>
        <w:ind w:left="0" w:leftChars="0" w:firstLine="0" w:firstLineChars="0"/>
        <w:textAlignment w:val="auto"/>
        <w:rPr>
          <w:rFonts w:hint="eastAsia"/>
          <w:kern w:val="0"/>
          <w:szCs w:val="21"/>
          <w:highlight w:val="none"/>
          <w:lang w:val="en-US" w:eastAsia="zh-CN"/>
        </w:rPr>
      </w:pPr>
      <w:r>
        <w:rPr>
          <w:rFonts w:hint="eastAsia"/>
          <w:kern w:val="0"/>
          <w:szCs w:val="21"/>
          <w:highlight w:val="none"/>
          <w:lang w:val="en-US" w:eastAsia="zh-CN"/>
        </w:rPr>
        <w:t>冬小麦、夏玉米种植密度应根据品种审定推荐密度、土壤地力、目标产量、土壤盐分、播期、耕作方式综合确定。冬小麦适期播种（10月5日—10月20日）基本苗，多穗型品种宜为150万～225万株/hm</w:t>
      </w:r>
      <w:r>
        <w:rPr>
          <w:rFonts w:hint="eastAsia"/>
          <w:kern w:val="0"/>
          <w:szCs w:val="21"/>
          <w:highlight w:val="none"/>
          <w:vertAlign w:val="superscript"/>
          <w:lang w:val="en-US" w:eastAsia="zh-CN"/>
        </w:rPr>
        <w:t>2</w:t>
      </w:r>
      <w:r>
        <w:rPr>
          <w:rFonts w:hint="eastAsia"/>
          <w:kern w:val="0"/>
          <w:szCs w:val="21"/>
          <w:highlight w:val="none"/>
          <w:lang w:val="en-US" w:eastAsia="zh-CN"/>
        </w:rPr>
        <w:t>，大穗型品种宜为225万～300万株/hm²，晚播（10月20日以后）基本苗宜为300万～450万株/hm</w:t>
      </w:r>
      <w:r>
        <w:rPr>
          <w:rFonts w:hint="eastAsia"/>
          <w:kern w:val="0"/>
          <w:szCs w:val="21"/>
          <w:highlight w:val="none"/>
          <w:vertAlign w:val="superscript"/>
          <w:lang w:val="en-US" w:eastAsia="zh-CN"/>
        </w:rPr>
        <w:t>2</w:t>
      </w:r>
      <w:r>
        <w:rPr>
          <w:rFonts w:hint="eastAsia"/>
          <w:kern w:val="0"/>
          <w:szCs w:val="21"/>
          <w:highlight w:val="none"/>
          <w:vertAlign w:val="baseline"/>
          <w:lang w:val="en-US" w:eastAsia="zh-CN"/>
        </w:rPr>
        <w:t>；夏玉米紧凑耐密型品种种植密度宜为45000～67500株/hm²；半紧凑型品种宜为37500～45000株/hm²；平展大穗型品种宜为30000～37500株/hm²。</w:t>
      </w:r>
    </w:p>
    <w:p w14:paraId="1D0C211C">
      <w:pPr>
        <w:keepNext w:val="0"/>
        <w:keepLines w:val="0"/>
        <w:pageBreakBefore w:val="0"/>
        <w:widowControl w:val="0"/>
        <w:numPr>
          <w:ilvl w:val="1"/>
          <w:numId w:val="18"/>
        </w:numPr>
        <w:kinsoku/>
        <w:wordWrap/>
        <w:overflowPunct/>
        <w:topLinePunct w:val="0"/>
        <w:autoSpaceDE/>
        <w:autoSpaceDN/>
        <w:bidi w:val="0"/>
        <w:adjustRightInd/>
        <w:snapToGrid/>
        <w:ind w:left="0" w:leftChars="0" w:firstLine="0" w:firstLineChars="0"/>
        <w:textAlignment w:val="auto"/>
        <w:rPr>
          <w:rFonts w:hint="eastAsia"/>
          <w:kern w:val="0"/>
          <w:szCs w:val="21"/>
          <w:highlight w:val="none"/>
          <w:lang w:val="en-US" w:eastAsia="zh-CN"/>
        </w:rPr>
      </w:pPr>
      <w:r>
        <w:rPr>
          <w:rFonts w:hint="eastAsia"/>
          <w:kern w:val="0"/>
          <w:szCs w:val="21"/>
          <w:highlight w:val="none"/>
          <w:lang w:val="en-US" w:eastAsia="zh-CN"/>
        </w:rPr>
        <w:t>冬小麦、夏玉米应根据作物成熟度适时开展机械化收获，冬小麦作业质量应符合 NY/T 995 的规定，夏玉米作业质量应符合 NY/T 645 的规定。</w:t>
      </w:r>
    </w:p>
    <w:p w14:paraId="6D46E020">
      <w:pPr>
        <w:keepNext w:val="0"/>
        <w:keepLines w:val="0"/>
        <w:pageBreakBefore w:val="0"/>
        <w:widowControl w:val="0"/>
        <w:numPr>
          <w:ilvl w:val="1"/>
          <w:numId w:val="18"/>
        </w:numPr>
        <w:kinsoku/>
        <w:wordWrap/>
        <w:overflowPunct/>
        <w:topLinePunct w:val="0"/>
        <w:autoSpaceDE/>
        <w:autoSpaceDN/>
        <w:bidi w:val="0"/>
        <w:adjustRightInd/>
        <w:snapToGrid/>
        <w:ind w:left="0" w:leftChars="0" w:firstLine="0" w:firstLineChars="0"/>
        <w:textAlignment w:val="auto"/>
        <w:rPr>
          <w:rFonts w:hint="eastAsia"/>
          <w:kern w:val="0"/>
          <w:szCs w:val="21"/>
          <w:highlight w:val="none"/>
          <w:lang w:val="en-US" w:eastAsia="zh-CN"/>
        </w:rPr>
      </w:pPr>
      <w:r>
        <w:rPr>
          <w:rFonts w:hint="eastAsia"/>
          <w:kern w:val="0"/>
          <w:szCs w:val="21"/>
          <w:highlight w:val="none"/>
          <w:lang w:val="en-US" w:eastAsia="zh-CN"/>
        </w:rPr>
        <w:t>结合土壤肥力、地块历史产量及作物需肥规律，实行精准配方施肥，落实“一户一配方、一块田一方案”的科学施肥模式。氮肥施用量应依据作物目标产量水平确定，目标产量可由地块前三年平均历史产量增加5%~15%确定，磷肥、钾肥施用量应根据土壤有效养分含量分级结果确定。冬小麦氮、磷、钾肥施用量见附录A表A.1，夏玉米氮、磷、钾肥施用量见附录A表A.2。</w:t>
      </w:r>
    </w:p>
    <w:p w14:paraId="23283762">
      <w:pPr>
        <w:keepNext w:val="0"/>
        <w:keepLines w:val="0"/>
        <w:pageBreakBefore w:val="0"/>
        <w:widowControl w:val="0"/>
        <w:numPr>
          <w:ilvl w:val="1"/>
          <w:numId w:val="18"/>
        </w:numPr>
        <w:kinsoku/>
        <w:wordWrap/>
        <w:overflowPunct/>
        <w:topLinePunct w:val="0"/>
        <w:autoSpaceDE/>
        <w:autoSpaceDN/>
        <w:bidi w:val="0"/>
        <w:adjustRightInd/>
        <w:snapToGrid/>
        <w:ind w:left="0" w:leftChars="0" w:firstLine="0" w:firstLineChars="0"/>
        <w:textAlignment w:val="auto"/>
        <w:rPr>
          <w:rFonts w:hint="eastAsia"/>
          <w:kern w:val="0"/>
          <w:szCs w:val="21"/>
          <w:highlight w:val="none"/>
          <w:lang w:val="en-US" w:eastAsia="zh-CN"/>
        </w:rPr>
      </w:pPr>
      <w:r>
        <w:rPr>
          <w:rFonts w:hint="eastAsia"/>
          <w:kern w:val="0"/>
          <w:szCs w:val="21"/>
          <w:highlight w:val="none"/>
          <w:lang w:val="en-US" w:eastAsia="zh-CN"/>
        </w:rPr>
        <w:t>宜每年开展一次土壤理化性状指标及作物产量定点监测，并将监测结果建档留存。应依据年度监测结果动态变化，持续优化耕地地力提升技术与水肥施用方案。</w:t>
      </w:r>
    </w:p>
    <w:p w14:paraId="3FF0CCEB">
      <w:pPr>
        <w:pStyle w:val="2"/>
        <w:widowControl/>
        <w:numPr>
          <w:ilvl w:val="0"/>
          <w:numId w:val="18"/>
        </w:numPr>
        <w:spacing w:before="156" w:beforeLines="50" w:after="156" w:afterLines="50" w:line="240" w:lineRule="auto"/>
        <w:jc w:val="left"/>
        <w:rPr>
          <w:rFonts w:eastAsia="黑体"/>
          <w:b w:val="0"/>
          <w:sz w:val="21"/>
          <w:szCs w:val="20"/>
          <w:highlight w:val="none"/>
        </w:rPr>
      </w:pPr>
      <w:bookmarkStart w:id="64" w:name="_Toc235478383"/>
      <w:bookmarkStart w:id="65" w:name="_Toc16812"/>
      <w:r>
        <w:rPr>
          <w:rFonts w:hint="eastAsia" w:eastAsia="黑体"/>
          <w:b w:val="0"/>
          <w:sz w:val="21"/>
          <w:szCs w:val="20"/>
          <w:highlight w:val="none"/>
          <w:lang w:val="en-US" w:eastAsia="zh-CN"/>
        </w:rPr>
        <w:t>耕地</w:t>
      </w:r>
      <w:r>
        <w:rPr>
          <w:rFonts w:hint="eastAsia" w:eastAsia="黑体"/>
          <w:b w:val="0"/>
          <w:sz w:val="21"/>
          <w:szCs w:val="20"/>
          <w:highlight w:val="none"/>
        </w:rPr>
        <w:t>地力提升与耕作</w:t>
      </w:r>
      <w:r>
        <w:rPr>
          <w:rFonts w:hint="eastAsia" w:eastAsia="黑体"/>
          <w:b w:val="0"/>
          <w:sz w:val="21"/>
          <w:szCs w:val="20"/>
          <w:highlight w:val="none"/>
          <w:lang w:val="en-US" w:eastAsia="zh-CN"/>
        </w:rPr>
        <w:t>播种</w:t>
      </w:r>
      <w:r>
        <w:rPr>
          <w:rFonts w:hint="eastAsia" w:eastAsia="黑体"/>
          <w:b w:val="0"/>
          <w:sz w:val="21"/>
          <w:szCs w:val="20"/>
          <w:highlight w:val="none"/>
        </w:rPr>
        <w:t>技术</w:t>
      </w:r>
      <w:bookmarkEnd w:id="64"/>
      <w:bookmarkEnd w:id="65"/>
    </w:p>
    <w:p w14:paraId="060A0FE9">
      <w:pPr>
        <w:pStyle w:val="3"/>
        <w:keepNext w:val="0"/>
        <w:keepLines w:val="0"/>
        <w:numPr>
          <w:ilvl w:val="1"/>
          <w:numId w:val="18"/>
        </w:numPr>
        <w:tabs>
          <w:tab w:val="left" w:pos="420"/>
        </w:tabs>
        <w:spacing w:before="156" w:beforeLines="50" w:after="156" w:afterLines="50" w:line="440" w:lineRule="exact"/>
        <w:jc w:val="left"/>
        <w:rPr>
          <w:rFonts w:hint="eastAsia"/>
          <w:kern w:val="0"/>
          <w:szCs w:val="21"/>
          <w:highlight w:val="none"/>
          <w:lang w:val="en-US" w:eastAsia="zh-CN"/>
        </w:rPr>
      </w:pPr>
      <w:bookmarkStart w:id="66" w:name="_Toc235478384"/>
      <w:bookmarkStart w:id="67" w:name="_Toc5735"/>
      <w:r>
        <w:rPr>
          <w:rFonts w:hint="eastAsia" w:ascii="Times New Roman" w:hAnsi="Times New Roman"/>
          <w:b w:val="0"/>
          <w:sz w:val="21"/>
          <w:szCs w:val="21"/>
          <w:highlight w:val="none"/>
        </w:rPr>
        <w:t>耕地地力提升</w:t>
      </w:r>
      <w:bookmarkEnd w:id="66"/>
      <w:bookmarkEnd w:id="67"/>
    </w:p>
    <w:p w14:paraId="4CF80173">
      <w:pPr>
        <w:numPr>
          <w:ilvl w:val="2"/>
          <w:numId w:val="18"/>
        </w:numPr>
        <w:rPr>
          <w:rFonts w:hint="eastAsia"/>
          <w:kern w:val="0"/>
          <w:szCs w:val="21"/>
          <w:highlight w:val="none"/>
          <w:lang w:val="en-US" w:eastAsia="zh-CN"/>
        </w:rPr>
      </w:pPr>
      <w:r>
        <w:rPr>
          <w:rFonts w:hint="eastAsia"/>
          <w:kern w:val="0"/>
          <w:szCs w:val="21"/>
          <w:highlight w:val="none"/>
          <w:lang w:val="en-US" w:eastAsia="zh-CN"/>
        </w:rPr>
        <w:t>耕地地力评价应符合NY/T 1634的规定，耕地地力等级的划分应符合NY/T 309的规定，4等~10等的耕地为中低产田。</w:t>
      </w:r>
    </w:p>
    <w:p w14:paraId="40CDBCF5">
      <w:pPr>
        <w:numPr>
          <w:ilvl w:val="2"/>
          <w:numId w:val="18"/>
        </w:numPr>
        <w:rPr>
          <w:kern w:val="0"/>
          <w:szCs w:val="21"/>
          <w:highlight w:val="none"/>
        </w:rPr>
      </w:pPr>
      <w:r>
        <w:rPr>
          <w:rFonts w:hint="eastAsia"/>
          <w:kern w:val="0"/>
          <w:szCs w:val="21"/>
          <w:highlight w:val="none"/>
          <w:lang w:val="en-US" w:eastAsia="zh-CN"/>
        </w:rPr>
        <w:t>各类型中低产田改良技术应符合NY/T 310的规定。</w:t>
      </w:r>
    </w:p>
    <w:p w14:paraId="33AE35B8">
      <w:pPr>
        <w:numPr>
          <w:ilvl w:val="2"/>
          <w:numId w:val="18"/>
        </w:numPr>
        <w:rPr>
          <w:rFonts w:hint="eastAsia"/>
          <w:kern w:val="0"/>
          <w:szCs w:val="21"/>
          <w:lang w:val="en-US" w:eastAsia="zh-CN"/>
        </w:rPr>
      </w:pPr>
      <w:r>
        <w:rPr>
          <w:rFonts w:hint="eastAsia"/>
          <w:kern w:val="0"/>
          <w:szCs w:val="21"/>
          <w:lang w:val="en-US" w:eastAsia="zh-CN"/>
        </w:rPr>
        <w:t>深耕作业质量应符合NY/T 742的规定。</w:t>
      </w:r>
    </w:p>
    <w:p w14:paraId="75AFFAB7">
      <w:pPr>
        <w:numPr>
          <w:ilvl w:val="2"/>
          <w:numId w:val="18"/>
        </w:numPr>
        <w:rPr>
          <w:rFonts w:hint="eastAsia"/>
          <w:kern w:val="0"/>
          <w:szCs w:val="21"/>
          <w:lang w:val="en-US" w:eastAsia="zh-CN"/>
        </w:rPr>
      </w:pPr>
      <w:r>
        <w:rPr>
          <w:rFonts w:hint="eastAsia"/>
          <w:kern w:val="0"/>
          <w:szCs w:val="21"/>
          <w:lang w:val="en-US" w:eastAsia="zh-CN"/>
        </w:rPr>
        <w:t>深松作业质量应符合NY/T 2845的规定。</w:t>
      </w:r>
    </w:p>
    <w:p w14:paraId="18FA47C3">
      <w:pPr>
        <w:numPr>
          <w:ilvl w:val="2"/>
          <w:numId w:val="18"/>
        </w:numPr>
        <w:rPr>
          <w:rFonts w:hint="eastAsia"/>
          <w:kern w:val="0"/>
          <w:szCs w:val="21"/>
          <w:lang w:val="en-US" w:eastAsia="zh-CN"/>
        </w:rPr>
      </w:pPr>
      <w:r>
        <w:rPr>
          <w:rFonts w:hint="eastAsia"/>
          <w:kern w:val="0"/>
          <w:szCs w:val="21"/>
          <w:lang w:val="en-US" w:eastAsia="zh-CN"/>
        </w:rPr>
        <w:t>秸秆粉碎还田作业质量应符合NY/T 500的规定。</w:t>
      </w:r>
    </w:p>
    <w:p w14:paraId="5AF41F61">
      <w:pPr>
        <w:numPr>
          <w:ilvl w:val="2"/>
          <w:numId w:val="18"/>
        </w:numPr>
        <w:rPr>
          <w:rFonts w:hint="eastAsia"/>
          <w:kern w:val="0"/>
          <w:szCs w:val="21"/>
          <w:lang w:val="en-US" w:eastAsia="zh-CN"/>
        </w:rPr>
      </w:pPr>
      <w:r>
        <w:rPr>
          <w:rFonts w:hint="eastAsia"/>
          <w:kern w:val="0"/>
          <w:szCs w:val="21"/>
          <w:lang w:val="en-US" w:eastAsia="zh-CN"/>
        </w:rPr>
        <w:t>有机肥质量应符合 NY/T 525的规定。</w:t>
      </w:r>
    </w:p>
    <w:p w14:paraId="574FD062">
      <w:pPr>
        <w:numPr>
          <w:ilvl w:val="2"/>
          <w:numId w:val="18"/>
        </w:numPr>
        <w:rPr>
          <w:rFonts w:hint="eastAsia"/>
          <w:kern w:val="0"/>
          <w:szCs w:val="21"/>
          <w:lang w:val="en-US" w:eastAsia="zh-CN"/>
        </w:rPr>
      </w:pPr>
      <w:r>
        <w:rPr>
          <w:rFonts w:hint="eastAsia"/>
          <w:kern w:val="0"/>
          <w:szCs w:val="21"/>
          <w:lang w:val="en-US" w:eastAsia="zh-CN"/>
        </w:rPr>
        <w:t>石灰质物料改良酸化土壤应符合 NY/T 3443的规定。</w:t>
      </w:r>
    </w:p>
    <w:p w14:paraId="00C6B9B9">
      <w:pPr>
        <w:numPr>
          <w:ilvl w:val="2"/>
          <w:numId w:val="18"/>
        </w:numPr>
        <w:rPr>
          <w:rFonts w:hint="eastAsia"/>
          <w:kern w:val="0"/>
          <w:szCs w:val="21"/>
          <w:lang w:val="en-US" w:eastAsia="zh-CN"/>
        </w:rPr>
      </w:pPr>
      <w:r>
        <w:rPr>
          <w:rFonts w:hint="eastAsia"/>
          <w:kern w:val="0"/>
          <w:szCs w:val="21"/>
          <w:lang w:val="en-US" w:eastAsia="zh-CN"/>
        </w:rPr>
        <w:t>土壤调理剂产品质量应符合 NY/T 3034的规定。</w:t>
      </w:r>
    </w:p>
    <w:p w14:paraId="3D1AA6C4">
      <w:pPr>
        <w:numPr>
          <w:ilvl w:val="2"/>
          <w:numId w:val="18"/>
        </w:numPr>
        <w:rPr>
          <w:rFonts w:hint="eastAsia"/>
          <w:kern w:val="0"/>
          <w:szCs w:val="21"/>
          <w:lang w:val="en-US" w:eastAsia="zh-CN"/>
        </w:rPr>
      </w:pPr>
      <w:r>
        <w:rPr>
          <w:rFonts w:hint="eastAsia"/>
          <w:kern w:val="0"/>
          <w:szCs w:val="21"/>
          <w:lang w:val="en-US" w:eastAsia="zh-CN"/>
        </w:rPr>
        <w:t>灌溉与排水工程设计应符合GB 50288的规定。</w:t>
      </w:r>
    </w:p>
    <w:p w14:paraId="0071BCAF">
      <w:pPr>
        <w:pStyle w:val="3"/>
        <w:keepNext w:val="0"/>
        <w:keepLines w:val="0"/>
        <w:numPr>
          <w:ilvl w:val="1"/>
          <w:numId w:val="18"/>
        </w:numPr>
        <w:tabs>
          <w:tab w:val="left" w:pos="420"/>
        </w:tabs>
        <w:spacing w:before="156" w:beforeLines="50" w:after="156" w:afterLines="50" w:line="440" w:lineRule="exact"/>
        <w:jc w:val="left"/>
        <w:rPr>
          <w:rFonts w:ascii="Times New Roman" w:hAnsi="Times New Roman"/>
          <w:b w:val="0"/>
          <w:sz w:val="21"/>
          <w:szCs w:val="21"/>
        </w:rPr>
      </w:pPr>
      <w:bookmarkStart w:id="68" w:name="_Toc235478385"/>
      <w:bookmarkStart w:id="69" w:name="_Toc15619"/>
      <w:r>
        <w:rPr>
          <w:rFonts w:hint="eastAsia" w:ascii="Times New Roman" w:hAnsi="Times New Roman"/>
          <w:b w:val="0"/>
          <w:sz w:val="21"/>
          <w:szCs w:val="21"/>
          <w:lang w:val="en-US" w:eastAsia="zh-CN"/>
        </w:rPr>
        <w:t>耕作</w:t>
      </w:r>
      <w:r>
        <w:rPr>
          <w:rFonts w:hint="eastAsia" w:ascii="Times New Roman" w:hAnsi="Times New Roman"/>
          <w:b w:val="0"/>
          <w:sz w:val="21"/>
          <w:szCs w:val="21"/>
        </w:rPr>
        <w:t>播种</w:t>
      </w:r>
      <w:bookmarkEnd w:id="68"/>
      <w:r>
        <w:rPr>
          <w:rFonts w:hint="eastAsia" w:ascii="Times New Roman" w:hAnsi="Times New Roman"/>
          <w:b w:val="0"/>
          <w:sz w:val="21"/>
          <w:szCs w:val="21"/>
          <w:lang w:val="en-US" w:eastAsia="zh-CN"/>
        </w:rPr>
        <w:t>技术</w:t>
      </w:r>
      <w:bookmarkEnd w:id="69"/>
    </w:p>
    <w:p w14:paraId="46265A9F">
      <w:pPr>
        <w:numPr>
          <w:ilvl w:val="2"/>
          <w:numId w:val="18"/>
        </w:numPr>
        <w:rPr>
          <w:kern w:val="0"/>
          <w:szCs w:val="21"/>
          <w:lang w:val="en-US" w:eastAsia="zh-CN"/>
        </w:rPr>
      </w:pPr>
      <w:r>
        <w:rPr>
          <w:kern w:val="0"/>
          <w:szCs w:val="21"/>
          <w:lang w:val="en-US" w:eastAsia="zh-CN"/>
        </w:rPr>
        <w:t>冬小麦播前整地方式，应结合土壤质地、土壤墒情条件综合确定。</w:t>
      </w:r>
    </w:p>
    <w:p w14:paraId="21F63F27">
      <w:pPr>
        <w:numPr>
          <w:ilvl w:val="2"/>
          <w:numId w:val="18"/>
        </w:numPr>
        <w:rPr>
          <w:kern w:val="0"/>
          <w:szCs w:val="21"/>
          <w:lang w:val="en-US" w:eastAsia="zh-CN"/>
        </w:rPr>
      </w:pPr>
      <w:r>
        <w:rPr>
          <w:kern w:val="0"/>
          <w:szCs w:val="21"/>
          <w:lang w:val="en-US" w:eastAsia="zh-CN"/>
        </w:rPr>
        <w:t>土壤墒情适宜的地块，</w:t>
      </w:r>
      <w:r>
        <w:rPr>
          <w:rFonts w:hint="eastAsia"/>
          <w:kern w:val="0"/>
          <w:szCs w:val="21"/>
          <w:lang w:val="en-US" w:eastAsia="zh-CN"/>
        </w:rPr>
        <w:t>冬小麦播前整地</w:t>
      </w:r>
      <w:r>
        <w:rPr>
          <w:kern w:val="0"/>
          <w:szCs w:val="21"/>
          <w:lang w:val="en-US" w:eastAsia="zh-CN"/>
        </w:rPr>
        <w:t xml:space="preserve">宜每3 </w:t>
      </w:r>
      <w:r>
        <w:rPr>
          <w:rFonts w:hint="eastAsia"/>
          <w:kern w:val="0"/>
          <w:szCs w:val="21"/>
          <w:lang w:val="en-US" w:eastAsia="zh-CN"/>
        </w:rPr>
        <w:t>年</w:t>
      </w:r>
      <w:r>
        <w:rPr>
          <w:kern w:val="0"/>
          <w:szCs w:val="21"/>
          <w:lang w:val="en-US" w:eastAsia="zh-CN"/>
        </w:rPr>
        <w:t>一次</w:t>
      </w:r>
      <w:r>
        <w:rPr>
          <w:rFonts w:hint="eastAsia"/>
          <w:kern w:val="0"/>
          <w:szCs w:val="21"/>
          <w:lang w:val="en-US" w:eastAsia="zh-CN"/>
        </w:rPr>
        <w:t>采用深耕翻地作业，深耕作业质量应符合NY/T 742的规定</w:t>
      </w:r>
      <w:r>
        <w:rPr>
          <w:kern w:val="0"/>
          <w:szCs w:val="21"/>
          <w:lang w:val="en-US" w:eastAsia="zh-CN"/>
        </w:rPr>
        <w:t>。完成深翻作业的地块，</w:t>
      </w:r>
      <w:r>
        <w:rPr>
          <w:rFonts w:hint="eastAsia"/>
          <w:kern w:val="0"/>
          <w:szCs w:val="21"/>
          <w:lang w:val="en-US" w:eastAsia="zh-CN"/>
        </w:rPr>
        <w:t>宜</w:t>
      </w:r>
      <w:r>
        <w:rPr>
          <w:kern w:val="0"/>
          <w:szCs w:val="21"/>
          <w:lang w:val="en-US" w:eastAsia="zh-CN"/>
        </w:rPr>
        <w:t>先开展耙压整地作业，再采用精量播种机进行小麦播种</w:t>
      </w:r>
      <w:r>
        <w:rPr>
          <w:rFonts w:hint="eastAsia"/>
          <w:kern w:val="0"/>
          <w:szCs w:val="21"/>
          <w:lang w:val="en-US" w:eastAsia="zh-CN"/>
        </w:rPr>
        <w:t>，亦可</w:t>
      </w:r>
      <w:r>
        <w:rPr>
          <w:kern w:val="0"/>
          <w:szCs w:val="21"/>
          <w:lang w:val="en-US" w:eastAsia="zh-CN"/>
        </w:rPr>
        <w:t>直接采用耙播一体机完成一体化播种作业。耙地</w:t>
      </w:r>
      <w:r>
        <w:rPr>
          <w:rFonts w:hint="eastAsia"/>
          <w:kern w:val="0"/>
          <w:szCs w:val="21"/>
          <w:lang w:val="en-US" w:eastAsia="zh-CN"/>
        </w:rPr>
        <w:t>作业质量</w:t>
      </w:r>
      <w:r>
        <w:rPr>
          <w:kern w:val="0"/>
          <w:szCs w:val="21"/>
          <w:lang w:val="en-US" w:eastAsia="zh-CN"/>
        </w:rPr>
        <w:t>应符合GB/T 25420的规定，播种作业质量应符合NY/T 1143的规定。</w:t>
      </w:r>
    </w:p>
    <w:p w14:paraId="3EEDFB24">
      <w:pPr>
        <w:numPr>
          <w:ilvl w:val="2"/>
          <w:numId w:val="18"/>
        </w:numPr>
        <w:rPr>
          <w:kern w:val="0"/>
          <w:szCs w:val="21"/>
          <w:lang w:val="en-US" w:eastAsia="zh-CN"/>
        </w:rPr>
      </w:pPr>
      <w:r>
        <w:rPr>
          <w:kern w:val="0"/>
          <w:szCs w:val="21"/>
          <w:lang w:val="en-US" w:eastAsia="zh-CN"/>
        </w:rPr>
        <w:t>土壤墒情偏高的黏土、黏壤土地块，</w:t>
      </w:r>
      <w:r>
        <w:rPr>
          <w:rFonts w:hint="eastAsia"/>
          <w:kern w:val="0"/>
          <w:szCs w:val="21"/>
          <w:lang w:val="en-US" w:eastAsia="zh-CN"/>
        </w:rPr>
        <w:t>冬小麦播前整地</w:t>
      </w:r>
      <w:r>
        <w:rPr>
          <w:kern w:val="0"/>
          <w:szCs w:val="21"/>
          <w:lang w:val="en-US" w:eastAsia="zh-CN"/>
        </w:rPr>
        <w:t>宜先采用旋耕机浅旋晾墒，待土壤墒情达标后开展播种作业；亦可直接采用旋耕播种机一次性完成播种作业。旋耕机作业质量应符合NY/T 499的规定，旋耕播种机作业质量应符合 NY/T 1229的规定。</w:t>
      </w:r>
    </w:p>
    <w:p w14:paraId="111A9A6A">
      <w:pPr>
        <w:numPr>
          <w:ilvl w:val="2"/>
          <w:numId w:val="18"/>
        </w:numPr>
        <w:rPr>
          <w:kern w:val="0"/>
          <w:szCs w:val="21"/>
          <w:lang w:val="en-US" w:eastAsia="zh-CN"/>
        </w:rPr>
      </w:pPr>
      <w:r>
        <w:rPr>
          <w:rFonts w:hint="eastAsia"/>
          <w:kern w:val="0"/>
          <w:szCs w:val="21"/>
          <w:lang w:val="en-US" w:eastAsia="zh-CN"/>
        </w:rPr>
        <w:t>冬小麦收获后，</w:t>
      </w:r>
      <w:r>
        <w:rPr>
          <w:kern w:val="0"/>
          <w:szCs w:val="21"/>
          <w:lang w:val="en-US" w:eastAsia="zh-CN"/>
        </w:rPr>
        <w:t>夏玉米播种</w:t>
      </w:r>
      <w:r>
        <w:rPr>
          <w:rFonts w:hint="eastAsia"/>
          <w:kern w:val="0"/>
          <w:szCs w:val="21"/>
          <w:lang w:val="en-US" w:eastAsia="zh-CN"/>
        </w:rPr>
        <w:t>可</w:t>
      </w:r>
      <w:r>
        <w:rPr>
          <w:kern w:val="0"/>
          <w:szCs w:val="21"/>
          <w:lang w:val="en-US" w:eastAsia="zh-CN"/>
        </w:rPr>
        <w:t>采用免耕精量播种技术。秸秆量大或土壤墒情偏高的黏土、黏壤土地块，可采用机械灭茬、播种行浅旋方式进行整地作业。免耕施肥播种机作业质量应符合GB/T 20865的规定。</w:t>
      </w:r>
    </w:p>
    <w:p w14:paraId="3E1680F3">
      <w:pPr>
        <w:pStyle w:val="2"/>
        <w:widowControl/>
        <w:numPr>
          <w:ilvl w:val="0"/>
          <w:numId w:val="18"/>
        </w:numPr>
        <w:spacing w:before="156" w:beforeLines="50" w:after="156" w:afterLines="50" w:line="240" w:lineRule="auto"/>
        <w:jc w:val="left"/>
        <w:rPr>
          <w:rFonts w:eastAsia="黑体"/>
          <w:b w:val="0"/>
          <w:sz w:val="21"/>
          <w:szCs w:val="20"/>
        </w:rPr>
      </w:pPr>
      <w:bookmarkStart w:id="70" w:name="_Toc14137"/>
      <w:bookmarkStart w:id="71" w:name="_Toc235478387"/>
      <w:r>
        <w:rPr>
          <w:rFonts w:hint="eastAsia" w:eastAsia="黑体"/>
          <w:b w:val="0"/>
          <w:sz w:val="21"/>
          <w:szCs w:val="20"/>
          <w:lang w:val="en-US" w:eastAsia="zh-CN"/>
        </w:rPr>
        <w:t>水肥管理</w:t>
      </w:r>
      <w:r>
        <w:rPr>
          <w:rFonts w:hint="eastAsia" w:eastAsia="黑体"/>
          <w:b w:val="0"/>
          <w:sz w:val="21"/>
          <w:szCs w:val="20"/>
        </w:rPr>
        <w:t>技术</w:t>
      </w:r>
      <w:bookmarkEnd w:id="70"/>
      <w:bookmarkEnd w:id="71"/>
    </w:p>
    <w:p w14:paraId="005DAE9E">
      <w:pPr>
        <w:pStyle w:val="3"/>
        <w:keepNext w:val="0"/>
        <w:keepLines w:val="0"/>
        <w:numPr>
          <w:ilvl w:val="1"/>
          <w:numId w:val="18"/>
        </w:numPr>
        <w:tabs>
          <w:tab w:val="left" w:pos="420"/>
        </w:tabs>
        <w:spacing w:before="156" w:beforeLines="50" w:after="156" w:afterLines="50" w:line="440" w:lineRule="exact"/>
        <w:jc w:val="left"/>
        <w:rPr>
          <w:rFonts w:ascii="Times New Roman" w:hAnsi="Times New Roman"/>
          <w:b w:val="0"/>
          <w:sz w:val="21"/>
          <w:szCs w:val="21"/>
          <w:highlight w:val="none"/>
        </w:rPr>
      </w:pPr>
      <w:bookmarkStart w:id="72" w:name="_Toc10534"/>
      <w:r>
        <w:rPr>
          <w:rFonts w:hint="eastAsia" w:ascii="Times New Roman" w:hAnsi="Times New Roman"/>
          <w:b w:val="0"/>
          <w:sz w:val="21"/>
          <w:szCs w:val="21"/>
          <w:highlight w:val="none"/>
          <w:lang w:val="en-US" w:eastAsia="zh-CN"/>
        </w:rPr>
        <w:t>灌溉制度</w:t>
      </w:r>
      <w:bookmarkEnd w:id="72"/>
    </w:p>
    <w:p w14:paraId="5A62322A">
      <w:pPr>
        <w:numPr>
          <w:ilvl w:val="2"/>
          <w:numId w:val="18"/>
        </w:numPr>
        <w:rPr>
          <w:kern w:val="0"/>
          <w:szCs w:val="21"/>
          <w:highlight w:val="none"/>
        </w:rPr>
      </w:pPr>
      <w:r>
        <w:rPr>
          <w:rFonts w:hint="eastAsia"/>
          <w:kern w:val="0"/>
          <w:szCs w:val="21"/>
          <w:highlight w:val="none"/>
          <w:lang w:val="en-US" w:eastAsia="zh-CN"/>
        </w:rPr>
        <w:t>未</w:t>
      </w:r>
      <w:r>
        <w:rPr>
          <w:kern w:val="0"/>
          <w:szCs w:val="21"/>
          <w:highlight w:val="none"/>
          <w:lang w:val="en-US" w:eastAsia="zh-CN"/>
        </w:rPr>
        <w:t>配备土壤墒情传感器的农田，</w:t>
      </w:r>
      <w:r>
        <w:rPr>
          <w:rFonts w:hint="eastAsia"/>
          <w:kern w:val="0"/>
          <w:szCs w:val="21"/>
          <w:highlight w:val="none"/>
          <w:lang w:val="en-US" w:eastAsia="zh-CN"/>
        </w:rPr>
        <w:t>冬小麦灌溉制度宜</w:t>
      </w:r>
      <w:r>
        <w:rPr>
          <w:kern w:val="0"/>
          <w:szCs w:val="21"/>
          <w:highlight w:val="none"/>
          <w:lang w:val="en-US" w:eastAsia="zh-CN"/>
        </w:rPr>
        <w:t>按降水年型划分，干旱年、平水年、丰水年田间喷灌次数宜分别为</w:t>
      </w:r>
      <w:r>
        <w:rPr>
          <w:rFonts w:hint="eastAsia"/>
          <w:kern w:val="0"/>
          <w:szCs w:val="21"/>
          <w:highlight w:val="none"/>
          <w:lang w:val="en-US" w:eastAsia="zh-CN"/>
        </w:rPr>
        <w:t>4</w:t>
      </w:r>
      <w:r>
        <w:rPr>
          <w:kern w:val="0"/>
          <w:szCs w:val="21"/>
          <w:highlight w:val="none"/>
          <w:lang w:val="en-US" w:eastAsia="zh-CN"/>
        </w:rPr>
        <w:t>次、</w:t>
      </w:r>
      <w:r>
        <w:rPr>
          <w:rFonts w:hint="eastAsia"/>
          <w:kern w:val="0"/>
          <w:szCs w:val="21"/>
          <w:highlight w:val="none"/>
          <w:lang w:val="en-US" w:eastAsia="zh-CN"/>
        </w:rPr>
        <w:t>3</w:t>
      </w:r>
      <w:r>
        <w:rPr>
          <w:kern w:val="0"/>
          <w:szCs w:val="21"/>
          <w:highlight w:val="none"/>
          <w:lang w:val="en-US" w:eastAsia="zh-CN"/>
        </w:rPr>
        <w:t>次、</w:t>
      </w:r>
      <w:r>
        <w:rPr>
          <w:rFonts w:hint="eastAsia"/>
          <w:kern w:val="0"/>
          <w:szCs w:val="21"/>
          <w:highlight w:val="none"/>
          <w:lang w:val="en-US" w:eastAsia="zh-CN"/>
        </w:rPr>
        <w:t>2</w:t>
      </w:r>
      <w:r>
        <w:rPr>
          <w:kern w:val="0"/>
          <w:szCs w:val="21"/>
          <w:highlight w:val="none"/>
          <w:lang w:val="en-US" w:eastAsia="zh-CN"/>
        </w:rPr>
        <w:t>次，</w:t>
      </w:r>
      <w:r>
        <w:rPr>
          <w:rFonts w:hint="eastAsia"/>
          <w:kern w:val="0"/>
          <w:szCs w:val="21"/>
          <w:highlight w:val="none"/>
          <w:lang w:val="en-US" w:eastAsia="zh-CN"/>
        </w:rPr>
        <w:t>灌水定额宜</w:t>
      </w:r>
      <w:r>
        <w:rPr>
          <w:kern w:val="0"/>
          <w:szCs w:val="21"/>
          <w:highlight w:val="none"/>
          <w:lang w:val="en-US" w:eastAsia="zh-CN"/>
        </w:rPr>
        <w:t>为40 mm～45 mm</w:t>
      </w:r>
      <w:r>
        <w:rPr>
          <w:rFonts w:hint="eastAsia"/>
          <w:kern w:val="0"/>
          <w:szCs w:val="21"/>
          <w:highlight w:val="none"/>
          <w:lang w:val="en-US" w:eastAsia="zh-CN"/>
        </w:rPr>
        <w:t>，冬小麦灌溉时段见附录B表B.1；夏玉米灌溉制度应考虑大量元素肥的水肥一体化追施，</w:t>
      </w:r>
      <w:r>
        <w:rPr>
          <w:kern w:val="0"/>
          <w:szCs w:val="21"/>
          <w:highlight w:val="none"/>
          <w:lang w:val="en-US" w:eastAsia="zh-CN"/>
        </w:rPr>
        <w:t>田间喷灌次数宜</w:t>
      </w:r>
      <w:r>
        <w:rPr>
          <w:rFonts w:hint="eastAsia"/>
          <w:kern w:val="0"/>
          <w:szCs w:val="21"/>
          <w:highlight w:val="none"/>
          <w:lang w:val="en-US" w:eastAsia="zh-CN"/>
        </w:rPr>
        <w:t>为2~3次，出苗水灌水定额宜为30 mm~40 mm，</w:t>
      </w:r>
      <w:r>
        <w:rPr>
          <w:rFonts w:hint="eastAsia"/>
          <w:lang w:val="en-US" w:eastAsia="zh-CN"/>
        </w:rPr>
        <w:t>拔节—大喇叭口期、抽雄—灌浆初期追肥水量宜为20 mm~30 mm，夏玉米</w:t>
      </w:r>
      <w:r>
        <w:rPr>
          <w:rFonts w:hint="eastAsia"/>
          <w:kern w:val="0"/>
          <w:szCs w:val="21"/>
          <w:highlight w:val="none"/>
          <w:lang w:val="en-US" w:eastAsia="zh-CN"/>
        </w:rPr>
        <w:t>灌溉时段见附录B表B.2</w:t>
      </w:r>
      <w:r>
        <w:rPr>
          <w:kern w:val="0"/>
          <w:szCs w:val="21"/>
          <w:highlight w:val="none"/>
          <w:lang w:val="en-US" w:eastAsia="zh-CN"/>
        </w:rPr>
        <w:t>。</w:t>
      </w:r>
    </w:p>
    <w:p w14:paraId="7B073DFF">
      <w:pPr>
        <w:numPr>
          <w:ilvl w:val="2"/>
          <w:numId w:val="18"/>
        </w:numPr>
        <w:rPr>
          <w:kern w:val="0"/>
          <w:szCs w:val="21"/>
          <w:highlight w:val="none"/>
        </w:rPr>
      </w:pPr>
      <w:r>
        <w:rPr>
          <w:kern w:val="0"/>
          <w:szCs w:val="21"/>
          <w:highlight w:val="none"/>
          <w:lang w:val="en-US" w:eastAsia="zh-CN"/>
        </w:rPr>
        <w:t>配备土壤墒情传感器的农田，灌水时间、灌水定额应结合作物生育阶段及土壤含水率实测数据计算确定，测算方法应符合T/JSGS 025的规定。</w:t>
      </w:r>
    </w:p>
    <w:p w14:paraId="36E71603">
      <w:pPr>
        <w:numPr>
          <w:ilvl w:val="2"/>
          <w:numId w:val="18"/>
        </w:numPr>
        <w:rPr>
          <w:kern w:val="0"/>
          <w:szCs w:val="21"/>
          <w:highlight w:val="none"/>
        </w:rPr>
      </w:pPr>
      <w:r>
        <w:rPr>
          <w:kern w:val="0"/>
          <w:szCs w:val="21"/>
          <w:highlight w:val="none"/>
          <w:lang w:val="en-US" w:eastAsia="zh-CN"/>
        </w:rPr>
        <w:t>配备土壤墒情传感器</w:t>
      </w:r>
      <w:r>
        <w:rPr>
          <w:rFonts w:hint="eastAsia"/>
          <w:kern w:val="0"/>
          <w:szCs w:val="21"/>
          <w:highlight w:val="none"/>
          <w:lang w:val="en-US" w:eastAsia="zh-CN"/>
        </w:rPr>
        <w:t>和</w:t>
      </w:r>
      <w:r>
        <w:rPr>
          <w:kern w:val="0"/>
          <w:szCs w:val="21"/>
          <w:highlight w:val="none"/>
          <w:lang w:val="en-US" w:eastAsia="zh-CN"/>
        </w:rPr>
        <w:t>智能决策平台</w:t>
      </w:r>
      <w:r>
        <w:rPr>
          <w:rFonts w:hint="eastAsia"/>
          <w:kern w:val="0"/>
          <w:szCs w:val="21"/>
          <w:highlight w:val="none"/>
          <w:lang w:val="en-US" w:eastAsia="zh-CN"/>
        </w:rPr>
        <w:t>实施</w:t>
      </w:r>
      <w:r>
        <w:rPr>
          <w:kern w:val="0"/>
          <w:szCs w:val="21"/>
          <w:highlight w:val="none"/>
          <w:lang w:val="en-US" w:eastAsia="zh-CN"/>
        </w:rPr>
        <w:t>变量灌溉</w:t>
      </w:r>
      <w:r>
        <w:rPr>
          <w:rFonts w:hint="eastAsia"/>
          <w:kern w:val="0"/>
          <w:szCs w:val="21"/>
          <w:highlight w:val="none"/>
          <w:lang w:val="en-US" w:eastAsia="zh-CN"/>
        </w:rPr>
        <w:t>技术时</w:t>
      </w:r>
      <w:r>
        <w:rPr>
          <w:kern w:val="0"/>
          <w:szCs w:val="21"/>
          <w:highlight w:val="none"/>
          <w:lang w:val="en-US" w:eastAsia="zh-CN"/>
        </w:rPr>
        <w:t>，应符合T/JSGS 025的规定。</w:t>
      </w:r>
    </w:p>
    <w:p w14:paraId="2A49D836">
      <w:pPr>
        <w:pStyle w:val="3"/>
        <w:keepNext w:val="0"/>
        <w:keepLines w:val="0"/>
        <w:numPr>
          <w:ilvl w:val="1"/>
          <w:numId w:val="18"/>
        </w:numPr>
        <w:tabs>
          <w:tab w:val="left" w:pos="420"/>
        </w:tabs>
        <w:spacing w:before="156" w:beforeLines="50" w:after="156" w:afterLines="50" w:line="440" w:lineRule="exact"/>
        <w:jc w:val="left"/>
        <w:rPr>
          <w:rFonts w:hint="default" w:ascii="Times New Roman" w:hAnsi="Times New Roman"/>
          <w:b w:val="0"/>
          <w:sz w:val="21"/>
          <w:szCs w:val="21"/>
          <w:highlight w:val="none"/>
          <w:lang w:val="en-US" w:eastAsia="zh-CN"/>
        </w:rPr>
      </w:pPr>
      <w:r>
        <w:rPr>
          <w:rFonts w:hint="eastAsia" w:ascii="Times New Roman" w:hAnsi="Times New Roman"/>
          <w:b w:val="0"/>
          <w:sz w:val="21"/>
          <w:szCs w:val="21"/>
          <w:highlight w:val="none"/>
          <w:lang w:val="en-US" w:eastAsia="zh-CN"/>
        </w:rPr>
        <w:t xml:space="preserve"> </w:t>
      </w:r>
      <w:bookmarkStart w:id="73" w:name="_Toc29089"/>
      <w:r>
        <w:rPr>
          <w:rFonts w:hint="eastAsia" w:ascii="Times New Roman" w:hAnsi="Times New Roman"/>
          <w:b w:val="0"/>
          <w:sz w:val="21"/>
          <w:szCs w:val="21"/>
          <w:highlight w:val="none"/>
          <w:lang w:val="en-US" w:eastAsia="zh-CN"/>
        </w:rPr>
        <w:t>基肥施用</w:t>
      </w:r>
      <w:bookmarkEnd w:id="73"/>
    </w:p>
    <w:p w14:paraId="2870AA63">
      <w:pPr>
        <w:keepNext w:val="0"/>
        <w:keepLines w:val="0"/>
        <w:pageBreakBefore w:val="0"/>
        <w:widowControl w:val="0"/>
        <w:numPr>
          <w:ilvl w:val="2"/>
          <w:numId w:val="18"/>
        </w:numPr>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lang w:val="en-US" w:eastAsia="zh-CN"/>
        </w:rPr>
      </w:pPr>
      <w:r>
        <w:rPr>
          <w:rFonts w:hint="eastAsia"/>
          <w:lang w:val="en-US" w:eastAsia="zh-CN"/>
        </w:rPr>
        <w:t>基肥选型</w:t>
      </w:r>
    </w:p>
    <w:p w14:paraId="467DBF13">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冬小麦基肥可选用尿素、钙镁磷肥、过磷酸钙、硫酸钾等单质肥料，亦可选用磷酸一铵、磷酸二铵、复合（混）肥料，可增施有机肥、复合微生物菌剂等长效培肥物料。</w:t>
      </w:r>
    </w:p>
    <w:p w14:paraId="00C2C817">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color w:val="auto"/>
          <w:lang w:val="en-US" w:eastAsia="zh-CN"/>
        </w:rPr>
      </w:pPr>
      <w:r>
        <w:rPr>
          <w:rFonts w:hint="eastAsia"/>
          <w:lang w:val="en-US" w:eastAsia="zh-CN"/>
        </w:rPr>
        <w:t>夏玉米基肥宜选用</w:t>
      </w:r>
      <w:r>
        <w:rPr>
          <w:rFonts w:hint="eastAsia"/>
          <w:color w:val="auto"/>
          <w:lang w:val="en-US" w:eastAsia="zh-CN"/>
        </w:rPr>
        <w:t>复合（混）肥料，优先选用复合微生物肥料。</w:t>
      </w:r>
    </w:p>
    <w:p w14:paraId="5A00A4DB">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color w:val="auto"/>
          <w:lang w:val="en-US" w:eastAsia="zh-CN"/>
        </w:rPr>
      </w:pPr>
      <w:r>
        <w:rPr>
          <w:rFonts w:hint="eastAsia"/>
          <w:color w:val="auto"/>
          <w:lang w:val="en-US" w:eastAsia="zh-CN"/>
        </w:rPr>
        <w:t>基肥宜选用颗粒状肥料，粒径应均匀、比重应一致，宜适配机械化施肥作业。</w:t>
      </w:r>
    </w:p>
    <w:p w14:paraId="5C7C323C">
      <w:pPr>
        <w:keepNext w:val="0"/>
        <w:keepLines w:val="0"/>
        <w:pageBreakBefore w:val="0"/>
        <w:widowControl w:val="0"/>
        <w:numPr>
          <w:ilvl w:val="2"/>
          <w:numId w:val="18"/>
        </w:numPr>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lang w:val="en-US" w:eastAsia="zh-CN"/>
        </w:rPr>
      </w:pPr>
      <w:r>
        <w:rPr>
          <w:rFonts w:hint="eastAsia"/>
          <w:lang w:val="en-US" w:eastAsia="zh-CN"/>
        </w:rPr>
        <w:t>基肥用量和施用方法</w:t>
      </w:r>
    </w:p>
    <w:p w14:paraId="07A51225">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冬小麦、夏玉米氮肥基施量应根据基追比</w:t>
      </w:r>
      <w:r>
        <w:rPr>
          <w:rFonts w:hint="eastAsia"/>
          <w:highlight w:val="none"/>
          <w:lang w:val="en-US" w:eastAsia="zh-CN"/>
        </w:rPr>
        <w:t>确定，氮肥基追比见附录A；磷肥</w:t>
      </w:r>
      <w:r>
        <w:rPr>
          <w:rFonts w:hint="eastAsia"/>
          <w:lang w:val="en-US" w:eastAsia="zh-CN"/>
        </w:rPr>
        <w:t>和钾肥可采用一次性基施。</w:t>
      </w:r>
    </w:p>
    <w:p w14:paraId="2D28F501">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color w:val="000000"/>
          <w:kern w:val="0"/>
          <w:szCs w:val="21"/>
          <w:highlight w:val="none"/>
          <w:lang w:val="en-US" w:eastAsia="zh-CN"/>
        </w:rPr>
      </w:pPr>
      <w:r>
        <w:rPr>
          <w:color w:val="000000"/>
          <w:kern w:val="0"/>
          <w:szCs w:val="21"/>
          <w:highlight w:val="none"/>
          <w:lang w:val="en-US" w:eastAsia="zh-CN"/>
        </w:rPr>
        <w:t>冬小麦</w:t>
      </w:r>
      <w:r>
        <w:rPr>
          <w:rFonts w:hint="eastAsia"/>
          <w:color w:val="000000"/>
          <w:kern w:val="0"/>
          <w:szCs w:val="21"/>
          <w:highlight w:val="none"/>
          <w:lang w:val="en-US" w:eastAsia="zh-CN"/>
        </w:rPr>
        <w:t>、夏玉米</w:t>
      </w:r>
      <w:r>
        <w:rPr>
          <w:color w:val="000000"/>
          <w:kern w:val="0"/>
          <w:szCs w:val="21"/>
          <w:highlight w:val="none"/>
          <w:lang w:val="en-US" w:eastAsia="zh-CN"/>
        </w:rPr>
        <w:t>基肥</w:t>
      </w:r>
      <w:r>
        <w:rPr>
          <w:rFonts w:hint="eastAsia"/>
          <w:color w:val="000000"/>
          <w:kern w:val="0"/>
          <w:szCs w:val="21"/>
          <w:highlight w:val="none"/>
          <w:lang w:val="en-US" w:eastAsia="zh-CN"/>
        </w:rPr>
        <w:t>宜</w:t>
      </w:r>
      <w:r>
        <w:rPr>
          <w:color w:val="000000"/>
          <w:kern w:val="0"/>
          <w:szCs w:val="21"/>
          <w:highlight w:val="none"/>
          <w:lang w:val="en-US" w:eastAsia="zh-CN"/>
        </w:rPr>
        <w:t>采用</w:t>
      </w:r>
      <w:r>
        <w:rPr>
          <w:rFonts w:hint="eastAsia"/>
          <w:color w:val="000000"/>
          <w:kern w:val="0"/>
          <w:szCs w:val="21"/>
          <w:highlight w:val="none"/>
          <w:lang w:val="en-US" w:eastAsia="zh-CN"/>
        </w:rPr>
        <w:t>种肥同播</w:t>
      </w:r>
      <w:r>
        <w:rPr>
          <w:color w:val="000000"/>
          <w:kern w:val="0"/>
          <w:szCs w:val="21"/>
          <w:highlight w:val="none"/>
          <w:lang w:val="en-US" w:eastAsia="zh-CN"/>
        </w:rPr>
        <w:t>，</w:t>
      </w:r>
      <w:r>
        <w:rPr>
          <w:rFonts w:hint="eastAsia"/>
          <w:color w:val="000000"/>
          <w:kern w:val="0"/>
          <w:szCs w:val="21"/>
          <w:highlight w:val="none"/>
          <w:lang w:val="en-US" w:eastAsia="zh-CN"/>
        </w:rPr>
        <w:t>肥料施用方法应符合</w:t>
      </w:r>
      <w:r>
        <w:rPr>
          <w:color w:val="000000"/>
          <w:kern w:val="0"/>
          <w:szCs w:val="21"/>
          <w:highlight w:val="none"/>
          <w:lang w:val="en-US" w:eastAsia="zh-CN"/>
        </w:rPr>
        <w:t>NY/T 4816</w:t>
      </w:r>
      <w:r>
        <w:rPr>
          <w:rFonts w:hint="eastAsia"/>
          <w:color w:val="000000"/>
          <w:kern w:val="0"/>
          <w:szCs w:val="21"/>
          <w:highlight w:val="none"/>
          <w:lang w:val="en-US" w:eastAsia="zh-CN"/>
        </w:rPr>
        <w:t>的规定。</w:t>
      </w:r>
    </w:p>
    <w:p w14:paraId="42333560">
      <w:pPr>
        <w:pStyle w:val="3"/>
        <w:keepNext w:val="0"/>
        <w:keepLines w:val="0"/>
        <w:numPr>
          <w:ilvl w:val="1"/>
          <w:numId w:val="18"/>
        </w:numPr>
        <w:tabs>
          <w:tab w:val="left" w:pos="420"/>
        </w:tabs>
        <w:spacing w:before="156" w:beforeLines="50" w:after="156" w:afterLines="50" w:line="440" w:lineRule="exact"/>
        <w:jc w:val="left"/>
        <w:rPr>
          <w:rFonts w:ascii="Times New Roman" w:hAnsi="Times New Roman"/>
          <w:b w:val="0"/>
          <w:sz w:val="21"/>
          <w:szCs w:val="21"/>
          <w:highlight w:val="none"/>
        </w:rPr>
      </w:pPr>
      <w:r>
        <w:rPr>
          <w:rFonts w:hint="eastAsia" w:ascii="Times New Roman" w:hAnsi="Times New Roman"/>
          <w:b w:val="0"/>
          <w:sz w:val="21"/>
          <w:szCs w:val="21"/>
          <w:highlight w:val="none"/>
          <w:lang w:val="en-US" w:eastAsia="zh-CN"/>
        </w:rPr>
        <w:t xml:space="preserve"> </w:t>
      </w:r>
      <w:bookmarkStart w:id="74" w:name="_Toc235478388"/>
      <w:r>
        <w:rPr>
          <w:rFonts w:hint="eastAsia" w:ascii="Times New Roman" w:hAnsi="Times New Roman"/>
          <w:b w:val="0"/>
          <w:sz w:val="21"/>
          <w:szCs w:val="21"/>
          <w:highlight w:val="none"/>
        </w:rPr>
        <w:t>喷灌水肥一体化系统组成</w:t>
      </w:r>
      <w:bookmarkEnd w:id="74"/>
    </w:p>
    <w:p w14:paraId="53056F9D">
      <w:pPr>
        <w:numPr>
          <w:ilvl w:val="2"/>
          <w:numId w:val="18"/>
        </w:numPr>
        <w:rPr>
          <w:kern w:val="0"/>
          <w:szCs w:val="21"/>
          <w:highlight w:val="none"/>
        </w:rPr>
      </w:pPr>
      <w:r>
        <w:rPr>
          <w:rFonts w:hint="eastAsia"/>
          <w:kern w:val="0"/>
          <w:szCs w:val="21"/>
          <w:highlight w:val="none"/>
          <w:lang w:val="en-US" w:eastAsia="zh-CN"/>
        </w:rPr>
        <w:t>喷灌水肥一体化系统应由首部枢纽、施肥装置、输配水管网、田间喷灌设备四部分组成。</w:t>
      </w:r>
    </w:p>
    <w:p w14:paraId="5325C76D">
      <w:pPr>
        <w:numPr>
          <w:ilvl w:val="2"/>
          <w:numId w:val="18"/>
        </w:numPr>
        <w:rPr>
          <w:kern w:val="0"/>
          <w:szCs w:val="21"/>
          <w:highlight w:val="none"/>
        </w:rPr>
      </w:pPr>
      <w:r>
        <w:rPr>
          <w:rFonts w:hint="eastAsia"/>
          <w:kern w:val="0"/>
          <w:szCs w:val="21"/>
          <w:highlight w:val="none"/>
          <w:lang w:val="en-US" w:eastAsia="zh-CN"/>
        </w:rPr>
        <w:t>首部枢纽和输配水管网组成与选型应符合GB/T 50085的规定。</w:t>
      </w:r>
    </w:p>
    <w:p w14:paraId="4C188101">
      <w:pPr>
        <w:numPr>
          <w:ilvl w:val="2"/>
          <w:numId w:val="18"/>
        </w:numPr>
        <w:rPr>
          <w:color w:val="auto"/>
          <w:kern w:val="0"/>
          <w:szCs w:val="21"/>
          <w:highlight w:val="none"/>
        </w:rPr>
      </w:pPr>
      <w:r>
        <w:rPr>
          <w:rFonts w:hint="eastAsia"/>
          <w:kern w:val="0"/>
          <w:szCs w:val="21"/>
          <w:highlight w:val="none"/>
          <w:lang w:val="en-US" w:eastAsia="zh-CN"/>
        </w:rPr>
        <w:t>施肥装</w:t>
      </w:r>
      <w:r>
        <w:rPr>
          <w:rFonts w:hint="eastAsia"/>
          <w:color w:val="auto"/>
          <w:kern w:val="0"/>
          <w:szCs w:val="21"/>
          <w:highlight w:val="none"/>
          <w:lang w:val="en-US" w:eastAsia="zh-CN"/>
        </w:rPr>
        <w:t>置应采用泵注式施肥设备。</w:t>
      </w:r>
    </w:p>
    <w:p w14:paraId="032FF982">
      <w:pPr>
        <w:numPr>
          <w:ilvl w:val="2"/>
          <w:numId w:val="18"/>
        </w:numPr>
        <w:rPr>
          <w:color w:val="auto"/>
          <w:kern w:val="0"/>
          <w:szCs w:val="21"/>
          <w:highlight w:val="none"/>
          <w:lang w:val="en-US" w:eastAsia="zh-CN"/>
        </w:rPr>
      </w:pPr>
      <w:r>
        <w:rPr>
          <w:rFonts w:hint="eastAsia"/>
          <w:color w:val="auto"/>
          <w:kern w:val="0"/>
          <w:szCs w:val="21"/>
          <w:highlight w:val="none"/>
          <w:lang w:val="en-US" w:eastAsia="zh-CN"/>
        </w:rPr>
        <w:t>田间喷灌设备宜选用中心支轴式喷灌机、平移式喷灌机、固定或半固定式管道喷灌设备，灌水均匀度应符合GB/T 50085的规定。</w:t>
      </w:r>
    </w:p>
    <w:p w14:paraId="58926FE7">
      <w:pPr>
        <w:pStyle w:val="3"/>
        <w:keepNext w:val="0"/>
        <w:keepLines w:val="0"/>
        <w:numPr>
          <w:ilvl w:val="1"/>
          <w:numId w:val="18"/>
        </w:numPr>
        <w:tabs>
          <w:tab w:val="left" w:pos="420"/>
        </w:tabs>
        <w:spacing w:before="156" w:beforeLines="50" w:after="156" w:afterLines="50" w:line="440" w:lineRule="exact"/>
        <w:jc w:val="left"/>
        <w:rPr>
          <w:rFonts w:hint="default" w:ascii="Times New Roman" w:hAnsi="Times New Roman"/>
          <w:b w:val="0"/>
          <w:sz w:val="21"/>
          <w:szCs w:val="21"/>
          <w:lang w:val="en-US" w:eastAsia="zh-CN"/>
        </w:rPr>
      </w:pPr>
      <w:r>
        <w:rPr>
          <w:rFonts w:hint="eastAsia" w:ascii="Times New Roman" w:hAnsi="Times New Roman"/>
          <w:b w:val="0"/>
          <w:sz w:val="21"/>
          <w:szCs w:val="21"/>
          <w:lang w:val="en-US" w:eastAsia="zh-CN"/>
        </w:rPr>
        <w:t xml:space="preserve"> </w:t>
      </w:r>
      <w:bookmarkStart w:id="75" w:name="_Toc15770"/>
      <w:r>
        <w:rPr>
          <w:rFonts w:hint="eastAsia" w:ascii="Times New Roman" w:hAnsi="Times New Roman"/>
          <w:b w:val="0"/>
          <w:sz w:val="21"/>
          <w:szCs w:val="21"/>
          <w:lang w:val="en-US" w:eastAsia="zh-CN"/>
        </w:rPr>
        <w:t>水肥一体化追肥</w:t>
      </w:r>
      <w:bookmarkEnd w:id="75"/>
    </w:p>
    <w:p w14:paraId="1C449520">
      <w:pPr>
        <w:keepNext w:val="0"/>
        <w:keepLines w:val="0"/>
        <w:pageBreakBefore w:val="0"/>
        <w:widowControl w:val="0"/>
        <w:numPr>
          <w:ilvl w:val="2"/>
          <w:numId w:val="18"/>
        </w:numPr>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lang w:val="en-US" w:eastAsia="zh-CN"/>
        </w:rPr>
      </w:pPr>
      <w:r>
        <w:rPr>
          <w:rFonts w:hint="eastAsia"/>
          <w:lang w:val="en-US" w:eastAsia="zh-CN"/>
        </w:rPr>
        <w:t>肥料选型</w:t>
      </w:r>
    </w:p>
    <w:p w14:paraId="33D3E936">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pPr>
      <w:r>
        <w:rPr>
          <w:rFonts w:hint="eastAsia"/>
          <w:lang w:val="en-US" w:eastAsia="zh-CN"/>
        </w:rPr>
        <w:t>喷灌水肥一体化系统施肥，应选用液体肥料或溶解性优良的水溶肥料。</w:t>
      </w:r>
    </w:p>
    <w:p w14:paraId="7C8717C0">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pPr>
      <w:r>
        <w:rPr>
          <w:lang w:val="en-US" w:eastAsia="zh-CN"/>
        </w:rPr>
        <w:t>中微量元素叶面肥应根据土壤</w:t>
      </w:r>
      <w:r>
        <w:rPr>
          <w:rFonts w:hint="eastAsia"/>
          <w:lang w:val="en-US" w:eastAsia="zh-CN"/>
        </w:rPr>
        <w:t>中微量元素</w:t>
      </w:r>
      <w:r>
        <w:rPr>
          <w:lang w:val="en-US" w:eastAsia="zh-CN"/>
        </w:rPr>
        <w:t>丰缺状况选用，</w:t>
      </w:r>
      <w:r>
        <w:rPr>
          <w:rFonts w:hint="eastAsia"/>
          <w:lang w:val="en-US" w:eastAsia="zh-CN"/>
        </w:rPr>
        <w:t>宜</w:t>
      </w:r>
      <w:r>
        <w:rPr>
          <w:lang w:val="en-US" w:eastAsia="zh-CN"/>
        </w:rPr>
        <w:t>选用土壤含量等级为缺乏及以下的微量元素</w:t>
      </w:r>
      <w:r>
        <w:rPr>
          <w:rFonts w:hint="eastAsia"/>
          <w:lang w:val="en-US" w:eastAsia="zh-CN"/>
        </w:rPr>
        <w:t>叶面肥</w:t>
      </w:r>
      <w:r>
        <w:rPr>
          <w:lang w:val="en-US" w:eastAsia="zh-CN"/>
        </w:rPr>
        <w:t>，土壤中微量元素丰缺等级</w:t>
      </w:r>
      <w:r>
        <w:rPr>
          <w:rFonts w:hint="eastAsia"/>
          <w:lang w:val="en-US" w:eastAsia="zh-CN"/>
        </w:rPr>
        <w:t>见</w:t>
      </w:r>
      <w:r>
        <w:rPr>
          <w:lang w:val="en-US" w:eastAsia="zh-CN"/>
        </w:rPr>
        <w:t>附录</w:t>
      </w:r>
      <w:r>
        <w:rPr>
          <w:rFonts w:hint="eastAsia"/>
          <w:lang w:val="en-US" w:eastAsia="zh-CN"/>
        </w:rPr>
        <w:t>C</w:t>
      </w:r>
      <w:r>
        <w:rPr>
          <w:lang w:val="en-US" w:eastAsia="zh-CN"/>
        </w:rPr>
        <w:t>表</w:t>
      </w:r>
      <w:r>
        <w:rPr>
          <w:rFonts w:hint="eastAsia"/>
          <w:lang w:val="en-US" w:eastAsia="zh-CN"/>
        </w:rPr>
        <w:t>C</w:t>
      </w:r>
      <w:r>
        <w:rPr>
          <w:lang w:val="en-US" w:eastAsia="zh-CN"/>
        </w:rPr>
        <w:t>.1。</w:t>
      </w:r>
    </w:p>
    <w:p w14:paraId="4FCBEB61">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其它类型叶面肥，</w:t>
      </w:r>
      <w:r>
        <w:rPr>
          <w:lang w:val="en-US" w:eastAsia="zh-CN"/>
        </w:rPr>
        <w:t>冬小麦宜选用调节型叶面肥，夏玉米宜选用生物型叶面肥。</w:t>
      </w:r>
    </w:p>
    <w:p w14:paraId="0991222B">
      <w:pPr>
        <w:keepNext w:val="0"/>
        <w:keepLines w:val="0"/>
        <w:pageBreakBefore w:val="0"/>
        <w:widowControl w:val="0"/>
        <w:numPr>
          <w:ilvl w:val="2"/>
          <w:numId w:val="18"/>
        </w:numPr>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lang w:val="en-US" w:eastAsia="zh-CN"/>
        </w:rPr>
      </w:pPr>
      <w:r>
        <w:rPr>
          <w:rFonts w:hint="eastAsia"/>
          <w:lang w:val="en-US" w:eastAsia="zh-CN"/>
        </w:rPr>
        <w:t>肥料用量和施用方法</w:t>
      </w:r>
    </w:p>
    <w:p w14:paraId="2CDAE2CC">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冬小麦返青—拔节期追肥时机应结合田间苗情综合判定，苗情判定方法应符合T/JSGS 025的规定。</w:t>
      </w:r>
    </w:p>
    <w:p w14:paraId="41FDB51E">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冬小麦返青—拔节期、抽穗—灌浆初期追肥比例宜分别为基施后剩余氮肥的75%和25%。</w:t>
      </w:r>
    </w:p>
    <w:p w14:paraId="7F1D9B1E">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中心支轴式喷灌机和平移式喷灌机条件下，夏玉米喇叭口期、抽雄吐丝期追肥比例宜分别为基施后剩余氮肥的80%和20%；</w:t>
      </w:r>
      <w:r>
        <w:rPr>
          <w:rFonts w:hint="eastAsia"/>
          <w:color w:val="auto"/>
          <w:kern w:val="0"/>
          <w:szCs w:val="21"/>
          <w:highlight w:val="none"/>
          <w:lang w:val="en-US" w:eastAsia="zh-CN"/>
        </w:rPr>
        <w:t>固定或半固定式管道喷灌条件下，宜在夏玉米喇叭口期一次追肥</w:t>
      </w:r>
      <w:r>
        <w:rPr>
          <w:rFonts w:hint="eastAsia"/>
          <w:lang w:val="en-US" w:eastAsia="zh-CN"/>
        </w:rPr>
        <w:t>。追肥时间宜结合降雨量确定，中雨停止2 d后开展追肥，大雨及以上降水停止3 d～4 d后开展追肥。</w:t>
      </w:r>
    </w:p>
    <w:p w14:paraId="48B5FB35">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夏玉米氮磷钾肥液喷施浓度可见附录D表D.1。</w:t>
      </w:r>
    </w:p>
    <w:p w14:paraId="6F13EA47">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配备智能决策平台、变量灌溉控制系统及智能施肥机的喷灌设备，宜采用变量施肥技术，具体实施方法应符合T/JSGS 025的规定。</w:t>
      </w:r>
    </w:p>
    <w:p w14:paraId="45E651EC">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按浓度指标施用的叶面肥，宜采用喷灌水肥一体化系统喷施作业，</w:t>
      </w:r>
      <w:r>
        <w:rPr>
          <w:rFonts w:hint="eastAsia"/>
          <w:kern w:val="0"/>
          <w:szCs w:val="21"/>
          <w:lang w:val="en-US" w:eastAsia="zh-CN"/>
        </w:rPr>
        <w:t>中心支轴式喷灌机、平移式喷灌机</w:t>
      </w:r>
      <w:r>
        <w:rPr>
          <w:rFonts w:hint="eastAsia"/>
          <w:lang w:val="en-US" w:eastAsia="zh-CN"/>
        </w:rPr>
        <w:t>行走速度宜设置为100%额定速度，</w:t>
      </w:r>
      <w:r>
        <w:rPr>
          <w:rFonts w:hint="eastAsia"/>
          <w:kern w:val="0"/>
          <w:szCs w:val="21"/>
          <w:lang w:val="en-US" w:eastAsia="zh-CN"/>
        </w:rPr>
        <w:t>固定或半固定式管道喷灌灌水量宜为3~5 mm</w:t>
      </w:r>
      <w:r>
        <w:rPr>
          <w:rFonts w:hint="eastAsia"/>
          <w:lang w:val="en-US" w:eastAsia="zh-CN"/>
        </w:rPr>
        <w:t>。</w:t>
      </w:r>
    </w:p>
    <w:p w14:paraId="239C708C">
      <w:pPr>
        <w:keepNext w:val="0"/>
        <w:keepLines w:val="0"/>
        <w:pageBreakBefore w:val="0"/>
        <w:widowControl w:val="0"/>
        <w:numPr>
          <w:ilvl w:val="3"/>
          <w:numId w:val="18"/>
        </w:numPr>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按用量指标施用的叶面肥，宜采用无人植保机喷施作业，无人机喷施作业质量应符合NY/T 4258的规定。</w:t>
      </w:r>
    </w:p>
    <w:p w14:paraId="5293D127">
      <w:pPr>
        <w:pStyle w:val="2"/>
        <w:widowControl/>
        <w:numPr>
          <w:ilvl w:val="0"/>
          <w:numId w:val="18"/>
        </w:numPr>
        <w:spacing w:before="156" w:beforeLines="50" w:after="156" w:afterLines="50" w:line="240" w:lineRule="auto"/>
        <w:jc w:val="left"/>
        <w:rPr>
          <w:rFonts w:eastAsia="黑体"/>
          <w:b w:val="0"/>
          <w:sz w:val="21"/>
          <w:szCs w:val="20"/>
          <w:highlight w:val="none"/>
        </w:rPr>
      </w:pPr>
      <w:bookmarkStart w:id="76" w:name="_Toc10467"/>
      <w:bookmarkStart w:id="77" w:name="_Toc235478393"/>
      <w:r>
        <w:rPr>
          <w:rFonts w:hint="eastAsia" w:eastAsia="黑体"/>
          <w:b w:val="0"/>
          <w:sz w:val="21"/>
          <w:szCs w:val="20"/>
          <w:highlight w:val="none"/>
        </w:rPr>
        <w:t>农田小气候调</w:t>
      </w:r>
      <w:r>
        <w:rPr>
          <w:rFonts w:hint="eastAsia" w:eastAsia="黑体"/>
          <w:b w:val="0"/>
          <w:sz w:val="21"/>
          <w:szCs w:val="20"/>
          <w:highlight w:val="none"/>
          <w:lang w:val="en-US" w:eastAsia="zh-CN"/>
        </w:rPr>
        <w:t>节</w:t>
      </w:r>
      <w:r>
        <w:rPr>
          <w:rFonts w:hint="eastAsia" w:eastAsia="黑体"/>
          <w:b w:val="0"/>
          <w:sz w:val="21"/>
          <w:szCs w:val="20"/>
          <w:highlight w:val="none"/>
        </w:rPr>
        <w:t>技术</w:t>
      </w:r>
      <w:bookmarkEnd w:id="76"/>
      <w:bookmarkEnd w:id="77"/>
    </w:p>
    <w:p w14:paraId="0BCBA0F6">
      <w:pPr>
        <w:pStyle w:val="3"/>
        <w:keepNext w:val="0"/>
        <w:keepLines w:val="0"/>
        <w:numPr>
          <w:ilvl w:val="1"/>
          <w:numId w:val="18"/>
        </w:numPr>
        <w:tabs>
          <w:tab w:val="left" w:pos="420"/>
        </w:tabs>
        <w:spacing w:before="156" w:beforeLines="50" w:after="156" w:afterLines="50" w:line="440" w:lineRule="exact"/>
        <w:jc w:val="left"/>
        <w:rPr>
          <w:rFonts w:ascii="Times New Roman" w:hAnsi="Times New Roman"/>
          <w:b w:val="0"/>
          <w:sz w:val="21"/>
          <w:szCs w:val="21"/>
          <w:highlight w:val="none"/>
        </w:rPr>
      </w:pPr>
      <w:bookmarkStart w:id="78" w:name="_Toc31513"/>
      <w:bookmarkStart w:id="79" w:name="_Toc235478394"/>
      <w:r>
        <w:rPr>
          <w:rFonts w:hint="eastAsia" w:ascii="Times New Roman" w:hAnsi="Times New Roman"/>
          <w:b w:val="0"/>
          <w:sz w:val="21"/>
          <w:szCs w:val="21"/>
          <w:highlight w:val="none"/>
        </w:rPr>
        <w:t>触发指标</w:t>
      </w:r>
      <w:bookmarkEnd w:id="78"/>
      <w:bookmarkEnd w:id="79"/>
    </w:p>
    <w:p w14:paraId="2FEF53D7">
      <w:pPr>
        <w:numPr>
          <w:ilvl w:val="2"/>
          <w:numId w:val="18"/>
        </w:numPr>
        <w:rPr>
          <w:bCs/>
          <w:szCs w:val="21"/>
          <w:highlight w:val="none"/>
        </w:rPr>
      </w:pPr>
      <w:r>
        <w:rPr>
          <w:bCs/>
          <w:szCs w:val="21"/>
          <w:highlight w:val="none"/>
          <w:lang w:val="en-US" w:eastAsia="zh-CN"/>
        </w:rPr>
        <w:t>小麦灌浆期干热风天气判定指标</w:t>
      </w:r>
      <w:r>
        <w:rPr>
          <w:rFonts w:hint="eastAsia"/>
          <w:bCs/>
          <w:szCs w:val="21"/>
          <w:highlight w:val="none"/>
          <w:lang w:val="en-US" w:eastAsia="zh-CN"/>
        </w:rPr>
        <w:t>为</w:t>
      </w:r>
      <w:r>
        <w:rPr>
          <w:bCs/>
          <w:szCs w:val="21"/>
          <w:highlight w:val="none"/>
          <w:lang w:val="en-US" w:eastAsia="zh-CN"/>
        </w:rPr>
        <w:t>日最高气温≥33 ℃、14:00相对湿度≤30%、14:00风速≥3 m/s。小麦干热风灾害等级划分应</w:t>
      </w:r>
      <w:r>
        <w:rPr>
          <w:rFonts w:hint="eastAsia"/>
          <w:bCs/>
          <w:szCs w:val="21"/>
          <w:highlight w:val="none"/>
          <w:lang w:val="en-US" w:eastAsia="zh-CN"/>
        </w:rPr>
        <w:t>按</w:t>
      </w:r>
      <w:r>
        <w:rPr>
          <w:bCs/>
          <w:szCs w:val="21"/>
          <w:highlight w:val="none"/>
          <w:lang w:val="en-US" w:eastAsia="zh-CN"/>
        </w:rPr>
        <w:t>QX/T 82的规定</w:t>
      </w:r>
      <w:r>
        <w:rPr>
          <w:rFonts w:hint="eastAsia"/>
          <w:bCs/>
          <w:szCs w:val="21"/>
          <w:highlight w:val="none"/>
          <w:lang w:val="en-US" w:eastAsia="zh-CN"/>
        </w:rPr>
        <w:t>执行</w:t>
      </w:r>
      <w:r>
        <w:rPr>
          <w:bCs/>
          <w:szCs w:val="21"/>
          <w:highlight w:val="none"/>
          <w:lang w:val="en-US" w:eastAsia="zh-CN"/>
        </w:rPr>
        <w:t>。</w:t>
      </w:r>
    </w:p>
    <w:p w14:paraId="54A78AD4">
      <w:pPr>
        <w:numPr>
          <w:ilvl w:val="2"/>
          <w:numId w:val="18"/>
        </w:numPr>
        <w:rPr>
          <w:bCs/>
          <w:szCs w:val="21"/>
          <w:highlight w:val="none"/>
        </w:rPr>
      </w:pPr>
      <w:r>
        <w:rPr>
          <w:bCs/>
          <w:szCs w:val="21"/>
          <w:highlight w:val="none"/>
          <w:lang w:val="en-US" w:eastAsia="zh-CN"/>
        </w:rPr>
        <w:t>玉米抽雄授粉期高温天气判定指标</w:t>
      </w:r>
      <w:r>
        <w:rPr>
          <w:rFonts w:hint="eastAsia"/>
          <w:bCs/>
          <w:szCs w:val="21"/>
          <w:highlight w:val="none"/>
          <w:lang w:val="en-US" w:eastAsia="zh-CN"/>
        </w:rPr>
        <w:t>为</w:t>
      </w:r>
      <w:r>
        <w:rPr>
          <w:bCs/>
          <w:szCs w:val="21"/>
          <w:highlight w:val="none"/>
          <w:lang w:val="en-US" w:eastAsia="zh-CN"/>
        </w:rPr>
        <w:t>日最高气温≥35 ℃</w:t>
      </w:r>
      <w:r>
        <w:rPr>
          <w:rFonts w:hint="eastAsia"/>
          <w:bCs/>
          <w:szCs w:val="21"/>
          <w:highlight w:val="none"/>
          <w:lang w:val="en-US" w:eastAsia="zh-CN"/>
        </w:rPr>
        <w:t>，玉米高温热害</w:t>
      </w:r>
      <w:r>
        <w:rPr>
          <w:bCs/>
          <w:szCs w:val="21"/>
          <w:highlight w:val="none"/>
          <w:lang w:val="en-US" w:eastAsia="zh-CN"/>
        </w:rPr>
        <w:t>等级划分应</w:t>
      </w:r>
      <w:r>
        <w:rPr>
          <w:rFonts w:hint="eastAsia"/>
          <w:bCs/>
          <w:szCs w:val="21"/>
          <w:highlight w:val="none"/>
          <w:lang w:val="en-US" w:eastAsia="zh-CN"/>
        </w:rPr>
        <w:t>按NY/T 2284的规定执行</w:t>
      </w:r>
      <w:r>
        <w:rPr>
          <w:bCs/>
          <w:szCs w:val="21"/>
          <w:highlight w:val="none"/>
          <w:lang w:val="en-US" w:eastAsia="zh-CN"/>
        </w:rPr>
        <w:t>。</w:t>
      </w:r>
    </w:p>
    <w:p w14:paraId="18C0CDAB">
      <w:pPr>
        <w:numPr>
          <w:ilvl w:val="2"/>
          <w:numId w:val="18"/>
        </w:numPr>
        <w:rPr>
          <w:bCs/>
          <w:szCs w:val="21"/>
          <w:highlight w:val="none"/>
        </w:rPr>
      </w:pPr>
      <w:r>
        <w:rPr>
          <w:bCs/>
          <w:szCs w:val="21"/>
          <w:highlight w:val="none"/>
          <w:lang w:val="en-US" w:eastAsia="zh-CN"/>
        </w:rPr>
        <w:t>冬小麦收获前5 d</w:t>
      </w:r>
      <w:r>
        <w:rPr>
          <w:rFonts w:hint="eastAsia"/>
          <w:bCs/>
          <w:szCs w:val="21"/>
          <w:highlight w:val="none"/>
          <w:lang w:val="en-US" w:eastAsia="zh-CN"/>
        </w:rPr>
        <w:t>内</w:t>
      </w:r>
      <w:r>
        <w:rPr>
          <w:bCs/>
          <w:szCs w:val="21"/>
          <w:highlight w:val="none"/>
          <w:lang w:val="en-US" w:eastAsia="zh-CN"/>
        </w:rPr>
        <w:t>、夏玉米收获前7 d内，不宜采用喷灌方式开展田间小气候调控作业。</w:t>
      </w:r>
    </w:p>
    <w:p w14:paraId="77BB8A94">
      <w:pPr>
        <w:pStyle w:val="3"/>
        <w:keepNext w:val="0"/>
        <w:keepLines w:val="0"/>
        <w:numPr>
          <w:ilvl w:val="1"/>
          <w:numId w:val="18"/>
        </w:numPr>
        <w:tabs>
          <w:tab w:val="left" w:pos="420"/>
        </w:tabs>
        <w:spacing w:before="156" w:beforeLines="50" w:after="156" w:afterLines="50" w:line="440" w:lineRule="exact"/>
        <w:jc w:val="left"/>
        <w:rPr>
          <w:rFonts w:ascii="Times New Roman" w:hAnsi="Times New Roman"/>
          <w:b w:val="0"/>
          <w:sz w:val="21"/>
          <w:szCs w:val="21"/>
          <w:highlight w:val="none"/>
        </w:rPr>
      </w:pPr>
      <w:bookmarkStart w:id="80" w:name="_Toc235478395"/>
      <w:bookmarkStart w:id="81" w:name="_Toc819"/>
      <w:r>
        <w:rPr>
          <w:rFonts w:hint="eastAsia" w:ascii="Times New Roman" w:hAnsi="Times New Roman"/>
          <w:b w:val="0"/>
          <w:sz w:val="21"/>
          <w:szCs w:val="21"/>
          <w:highlight w:val="none"/>
        </w:rPr>
        <w:t>喷灌</w:t>
      </w:r>
      <w:r>
        <w:rPr>
          <w:rFonts w:hint="eastAsia" w:ascii="Times New Roman" w:hAnsi="Times New Roman"/>
          <w:b w:val="0"/>
          <w:sz w:val="21"/>
          <w:szCs w:val="21"/>
          <w:highlight w:val="none"/>
          <w:lang w:val="en-US" w:eastAsia="zh-CN"/>
        </w:rPr>
        <w:t>调节农田小气候</w:t>
      </w:r>
      <w:r>
        <w:rPr>
          <w:rFonts w:hint="eastAsia" w:ascii="Times New Roman" w:hAnsi="Times New Roman"/>
          <w:b w:val="0"/>
          <w:sz w:val="21"/>
          <w:szCs w:val="21"/>
          <w:highlight w:val="none"/>
        </w:rPr>
        <w:t>作业模式</w:t>
      </w:r>
      <w:bookmarkEnd w:id="80"/>
      <w:bookmarkEnd w:id="81"/>
    </w:p>
    <w:p w14:paraId="6FAAC119">
      <w:pPr>
        <w:numPr>
          <w:ilvl w:val="2"/>
          <w:numId w:val="18"/>
        </w:numPr>
        <w:rPr>
          <w:kern w:val="0"/>
          <w:szCs w:val="21"/>
          <w:highlight w:val="none"/>
        </w:rPr>
      </w:pPr>
      <w:r>
        <w:rPr>
          <w:kern w:val="0"/>
          <w:szCs w:val="21"/>
          <w:highlight w:val="none"/>
          <w:lang w:val="en-US" w:eastAsia="zh-CN"/>
        </w:rPr>
        <w:t>采用</w:t>
      </w:r>
      <w:r>
        <w:rPr>
          <w:rFonts w:hint="eastAsia"/>
          <w:kern w:val="0"/>
          <w:szCs w:val="21"/>
          <w:highlight w:val="none"/>
          <w:lang w:val="en-US" w:eastAsia="zh-CN"/>
        </w:rPr>
        <w:t>固定或半固定式管道</w:t>
      </w:r>
      <w:r>
        <w:rPr>
          <w:kern w:val="0"/>
          <w:szCs w:val="21"/>
          <w:highlight w:val="none"/>
          <w:lang w:val="en-US" w:eastAsia="zh-CN"/>
        </w:rPr>
        <w:t>喷灌系统时，应根据灾害等级确定单次灌水量：轻度干热风、高温天气，单次灌水量宜为2.0 mm～2.5 mm；中重度干热风、高温天气，单次灌水量宜为2.5 mm～3.0 mm；强干热风、</w:t>
      </w:r>
      <w:r>
        <w:rPr>
          <w:rFonts w:hint="eastAsia"/>
          <w:kern w:val="0"/>
          <w:szCs w:val="21"/>
          <w:highlight w:val="none"/>
          <w:lang w:val="en-US" w:eastAsia="zh-CN"/>
        </w:rPr>
        <w:t>特重</w:t>
      </w:r>
      <w:r>
        <w:rPr>
          <w:kern w:val="0"/>
          <w:szCs w:val="21"/>
          <w:highlight w:val="none"/>
          <w:lang w:val="en-US" w:eastAsia="zh-CN"/>
        </w:rPr>
        <w:t>高温天气，可间隔1.0 h～1.5 h开展二次喷灌，单次灌水量宜为2.0 mm～2.5 mm。</w:t>
      </w:r>
    </w:p>
    <w:p w14:paraId="479B407E">
      <w:pPr>
        <w:numPr>
          <w:ilvl w:val="2"/>
          <w:numId w:val="18"/>
        </w:numPr>
        <w:rPr>
          <w:kern w:val="0"/>
          <w:szCs w:val="21"/>
          <w:highlight w:val="none"/>
        </w:rPr>
      </w:pPr>
      <w:r>
        <w:rPr>
          <w:kern w:val="0"/>
          <w:szCs w:val="21"/>
          <w:highlight w:val="none"/>
          <w:lang w:val="en-US" w:eastAsia="zh-CN"/>
        </w:rPr>
        <w:t>采用</w:t>
      </w:r>
      <w:r>
        <w:rPr>
          <w:rFonts w:hint="eastAsia"/>
          <w:kern w:val="0"/>
          <w:szCs w:val="21"/>
          <w:highlight w:val="none"/>
          <w:lang w:val="en-US" w:eastAsia="zh-CN"/>
        </w:rPr>
        <w:t>中心支轴式喷灌机或平移式喷灌机</w:t>
      </w:r>
      <w:r>
        <w:rPr>
          <w:kern w:val="0"/>
          <w:szCs w:val="21"/>
          <w:highlight w:val="none"/>
          <w:lang w:val="en-US" w:eastAsia="zh-CN"/>
        </w:rPr>
        <w:t>时，喷灌机行走速度宜设置为100%额定速度。</w:t>
      </w:r>
    </w:p>
    <w:p w14:paraId="10524C07">
      <w:pPr>
        <w:numPr>
          <w:ilvl w:val="2"/>
          <w:numId w:val="18"/>
        </w:numPr>
        <w:rPr>
          <w:kern w:val="0"/>
          <w:szCs w:val="21"/>
          <w:highlight w:val="none"/>
        </w:rPr>
      </w:pPr>
      <w:r>
        <w:rPr>
          <w:kern w:val="0"/>
          <w:szCs w:val="21"/>
          <w:highlight w:val="none"/>
          <w:lang w:val="en-US" w:eastAsia="zh-CN"/>
        </w:rPr>
        <w:t>喷灌调控作业宜在干热风、高温灾害发生前2 h～3 h完成。</w:t>
      </w:r>
      <w:r>
        <w:rPr>
          <w:rFonts w:hint="eastAsia"/>
          <w:kern w:val="0"/>
          <w:szCs w:val="21"/>
          <w:highlight w:val="none"/>
          <w:lang w:val="en-US" w:eastAsia="zh-CN"/>
        </w:rPr>
        <w:t>固定或半固定式管道</w:t>
      </w:r>
      <w:r>
        <w:rPr>
          <w:kern w:val="0"/>
          <w:szCs w:val="21"/>
          <w:highlight w:val="none"/>
          <w:lang w:val="en-US" w:eastAsia="zh-CN"/>
        </w:rPr>
        <w:t>喷灌首次作业宜选择当日11:00～12:00，</w:t>
      </w:r>
      <w:r>
        <w:rPr>
          <w:rFonts w:hint="eastAsia"/>
          <w:kern w:val="0"/>
          <w:szCs w:val="21"/>
          <w:highlight w:val="none"/>
          <w:lang w:val="en-US" w:eastAsia="zh-CN"/>
        </w:rPr>
        <w:t>第</w:t>
      </w:r>
      <w:r>
        <w:rPr>
          <w:kern w:val="0"/>
          <w:szCs w:val="21"/>
          <w:highlight w:val="none"/>
          <w:lang w:val="en-US" w:eastAsia="zh-CN"/>
        </w:rPr>
        <w:t>二次作业宜安排在1</w:t>
      </w:r>
      <w:r>
        <w:rPr>
          <w:rFonts w:hint="eastAsia"/>
          <w:kern w:val="0"/>
          <w:szCs w:val="21"/>
          <w:highlight w:val="none"/>
          <w:lang w:val="en-US" w:eastAsia="zh-CN"/>
        </w:rPr>
        <w:t>3</w:t>
      </w:r>
      <w:r>
        <w:rPr>
          <w:kern w:val="0"/>
          <w:szCs w:val="21"/>
          <w:highlight w:val="none"/>
          <w:lang w:val="en-US" w:eastAsia="zh-CN"/>
        </w:rPr>
        <w:t>:00～1</w:t>
      </w:r>
      <w:r>
        <w:rPr>
          <w:rFonts w:hint="eastAsia"/>
          <w:kern w:val="0"/>
          <w:szCs w:val="21"/>
          <w:highlight w:val="none"/>
          <w:lang w:val="en-US" w:eastAsia="zh-CN"/>
        </w:rPr>
        <w:t>3</w:t>
      </w:r>
      <w:r>
        <w:rPr>
          <w:kern w:val="0"/>
          <w:szCs w:val="21"/>
          <w:highlight w:val="none"/>
          <w:lang w:val="en-US" w:eastAsia="zh-CN"/>
        </w:rPr>
        <w:t>:30。</w:t>
      </w:r>
    </w:p>
    <w:p w14:paraId="443195FB">
      <w:pPr>
        <w:pStyle w:val="2"/>
        <w:widowControl/>
        <w:numPr>
          <w:ilvl w:val="0"/>
          <w:numId w:val="18"/>
        </w:numPr>
        <w:spacing w:before="156" w:beforeLines="50" w:after="156" w:afterLines="50" w:line="240" w:lineRule="auto"/>
        <w:jc w:val="left"/>
        <w:rPr>
          <w:rFonts w:eastAsia="黑体"/>
          <w:b w:val="0"/>
          <w:sz w:val="21"/>
          <w:szCs w:val="20"/>
        </w:rPr>
      </w:pPr>
      <w:bookmarkStart w:id="82" w:name="_Toc32231"/>
      <w:bookmarkStart w:id="83" w:name="_Toc235478396"/>
      <w:r>
        <w:rPr>
          <w:rFonts w:hint="eastAsia" w:eastAsia="黑体"/>
          <w:b w:val="0"/>
          <w:sz w:val="21"/>
          <w:szCs w:val="20"/>
        </w:rPr>
        <w:t>病虫草害防治技术</w:t>
      </w:r>
      <w:bookmarkEnd w:id="82"/>
      <w:bookmarkEnd w:id="83"/>
    </w:p>
    <w:p w14:paraId="3D538B6F">
      <w:pPr>
        <w:pStyle w:val="3"/>
        <w:keepNext w:val="0"/>
        <w:keepLines w:val="0"/>
        <w:numPr>
          <w:ilvl w:val="1"/>
          <w:numId w:val="18"/>
        </w:numPr>
        <w:tabs>
          <w:tab w:val="left" w:pos="420"/>
        </w:tabs>
        <w:spacing w:before="156" w:beforeLines="50" w:after="156" w:afterLines="50" w:line="440" w:lineRule="exact"/>
        <w:jc w:val="left"/>
        <w:rPr>
          <w:rFonts w:ascii="Times New Roman" w:hAnsi="Times New Roman"/>
          <w:b w:val="0"/>
          <w:sz w:val="21"/>
          <w:szCs w:val="21"/>
        </w:rPr>
      </w:pPr>
      <w:bookmarkStart w:id="84" w:name="_Toc26420"/>
      <w:r>
        <w:rPr>
          <w:rFonts w:hint="eastAsia" w:ascii="Times New Roman" w:hAnsi="Times New Roman"/>
          <w:b w:val="0"/>
          <w:sz w:val="21"/>
          <w:szCs w:val="21"/>
          <w:lang w:val="en-US" w:eastAsia="zh-CN"/>
        </w:rPr>
        <w:t>一般规定</w:t>
      </w:r>
      <w:bookmarkEnd w:id="84"/>
    </w:p>
    <w:p w14:paraId="3C292385">
      <w:pPr>
        <w:numPr>
          <w:ilvl w:val="2"/>
          <w:numId w:val="18"/>
        </w:numPr>
        <w:ind w:left="0" w:leftChars="0" w:firstLine="0" w:firstLineChars="0"/>
        <w:rPr>
          <w:lang w:val="en-US" w:eastAsia="zh-CN"/>
        </w:rPr>
      </w:pPr>
      <w:r>
        <w:rPr>
          <w:lang w:val="en-US" w:eastAsia="zh-CN"/>
        </w:rPr>
        <w:t>病虫草害防控应坚持预防为主、综合防控的原则。</w:t>
      </w:r>
    </w:p>
    <w:p w14:paraId="026BCF4E">
      <w:pPr>
        <w:numPr>
          <w:ilvl w:val="2"/>
          <w:numId w:val="18"/>
        </w:numPr>
        <w:ind w:left="0" w:leftChars="0" w:firstLine="0" w:firstLineChars="0"/>
        <w:rPr>
          <w:highlight w:val="none"/>
        </w:rPr>
      </w:pPr>
      <w:r>
        <w:rPr>
          <w:lang w:val="en-US" w:eastAsia="zh-CN"/>
        </w:rPr>
        <w:t>农药</w:t>
      </w:r>
      <w:r>
        <w:rPr>
          <w:highlight w:val="none"/>
          <w:lang w:val="en-US" w:eastAsia="zh-CN"/>
        </w:rPr>
        <w:t>使用应符合NY/T 1276的规定</w:t>
      </w:r>
      <w:r>
        <w:rPr>
          <w:rFonts w:hint="eastAsia"/>
          <w:highlight w:val="none"/>
          <w:lang w:val="en-US" w:eastAsia="zh-CN"/>
        </w:rPr>
        <w:t>。</w:t>
      </w:r>
    </w:p>
    <w:p w14:paraId="4C49CCDA">
      <w:pPr>
        <w:numPr>
          <w:ilvl w:val="2"/>
          <w:numId w:val="18"/>
        </w:numPr>
        <w:ind w:left="0" w:leftChars="0" w:firstLine="0" w:firstLineChars="0"/>
        <w:rPr>
          <w:highlight w:val="none"/>
        </w:rPr>
      </w:pPr>
      <w:r>
        <w:rPr>
          <w:highlight w:val="none"/>
          <w:lang w:val="en-US" w:eastAsia="zh-CN"/>
        </w:rPr>
        <w:t>除草剂使用应符合NY/T 1997的规定。</w:t>
      </w:r>
    </w:p>
    <w:p w14:paraId="6989B248">
      <w:pPr>
        <w:numPr>
          <w:ilvl w:val="2"/>
          <w:numId w:val="18"/>
        </w:numPr>
        <w:ind w:left="0" w:leftChars="0" w:firstLine="0" w:firstLineChars="0"/>
        <w:rPr>
          <w:highlight w:val="none"/>
        </w:rPr>
      </w:pPr>
      <w:r>
        <w:rPr>
          <w:rFonts w:hint="eastAsia"/>
          <w:szCs w:val="21"/>
          <w:highlight w:val="none"/>
          <w:lang w:val="en-US" w:eastAsia="zh-CN"/>
        </w:rPr>
        <w:t>冬小麦、夏玉米种子</w:t>
      </w:r>
      <w:r>
        <w:rPr>
          <w:szCs w:val="21"/>
          <w:highlight w:val="none"/>
          <w:lang w:val="en-US" w:eastAsia="zh-CN"/>
        </w:rPr>
        <w:t>宜采用包衣或药剂拌种处理，包衣种子质量应符合GB/T 15671的规定</w:t>
      </w:r>
      <w:r>
        <w:rPr>
          <w:rFonts w:hint="eastAsia"/>
          <w:szCs w:val="21"/>
          <w:highlight w:val="none"/>
          <w:lang w:val="en-US" w:eastAsia="zh-CN"/>
        </w:rPr>
        <w:t>。</w:t>
      </w:r>
    </w:p>
    <w:p w14:paraId="5FF7D9F4">
      <w:pPr>
        <w:pStyle w:val="3"/>
        <w:keepNext w:val="0"/>
        <w:keepLines w:val="0"/>
        <w:numPr>
          <w:ilvl w:val="1"/>
          <w:numId w:val="18"/>
        </w:numPr>
        <w:tabs>
          <w:tab w:val="left" w:pos="420"/>
        </w:tabs>
        <w:spacing w:before="156" w:beforeLines="50" w:after="156" w:afterLines="50" w:line="440" w:lineRule="exact"/>
        <w:jc w:val="left"/>
        <w:rPr>
          <w:rFonts w:ascii="Times New Roman" w:hAnsi="Times New Roman"/>
          <w:b w:val="0"/>
          <w:sz w:val="21"/>
          <w:szCs w:val="21"/>
          <w:highlight w:val="none"/>
        </w:rPr>
      </w:pPr>
      <w:bookmarkStart w:id="85" w:name="_Toc235478398"/>
      <w:bookmarkStart w:id="86" w:name="_Toc10175"/>
      <w:r>
        <w:rPr>
          <w:rFonts w:hint="eastAsia" w:ascii="Times New Roman" w:hAnsi="Times New Roman"/>
          <w:b w:val="0"/>
          <w:sz w:val="21"/>
          <w:szCs w:val="21"/>
          <w:highlight w:val="none"/>
        </w:rPr>
        <w:t>冬小麦</w:t>
      </w:r>
      <w:bookmarkEnd w:id="85"/>
      <w:bookmarkEnd w:id="86"/>
    </w:p>
    <w:p w14:paraId="25BE6181">
      <w:pPr>
        <w:numPr>
          <w:ilvl w:val="2"/>
          <w:numId w:val="18"/>
        </w:numPr>
        <w:ind w:left="0" w:leftChars="0" w:firstLine="0" w:firstLineChars="0"/>
        <w:rPr>
          <w:highlight w:val="none"/>
          <w:lang w:val="en-US" w:eastAsia="zh-CN"/>
        </w:rPr>
      </w:pPr>
      <w:r>
        <w:rPr>
          <w:rFonts w:hint="eastAsia"/>
          <w:highlight w:val="none"/>
          <w:lang w:val="en-US" w:eastAsia="zh-CN"/>
        </w:rPr>
        <w:t>冬小麦除草时期应按</w:t>
      </w:r>
      <w:r>
        <w:rPr>
          <w:highlight w:val="none"/>
          <w:lang w:val="en-US" w:eastAsia="zh-CN"/>
        </w:rPr>
        <w:t>NY/T 4770</w:t>
      </w:r>
      <w:r>
        <w:rPr>
          <w:rFonts w:hint="eastAsia"/>
          <w:highlight w:val="none"/>
          <w:lang w:val="en-US" w:eastAsia="zh-CN"/>
        </w:rPr>
        <w:t>的规定执行。</w:t>
      </w:r>
    </w:p>
    <w:p w14:paraId="32D352A9">
      <w:pPr>
        <w:numPr>
          <w:ilvl w:val="2"/>
          <w:numId w:val="18"/>
        </w:numPr>
        <w:rPr>
          <w:szCs w:val="21"/>
        </w:rPr>
      </w:pPr>
      <w:r>
        <w:rPr>
          <w:rFonts w:hint="eastAsia"/>
          <w:szCs w:val="21"/>
          <w:highlight w:val="none"/>
          <w:lang w:val="en-US" w:eastAsia="zh-CN"/>
        </w:rPr>
        <w:t>冬</w:t>
      </w:r>
      <w:r>
        <w:rPr>
          <w:szCs w:val="21"/>
          <w:highlight w:val="none"/>
          <w:lang w:val="en-US" w:eastAsia="zh-CN"/>
        </w:rPr>
        <w:t>小麦返青</w:t>
      </w:r>
      <w:r>
        <w:rPr>
          <w:rFonts w:hint="eastAsia"/>
          <w:szCs w:val="21"/>
          <w:highlight w:val="none"/>
          <w:lang w:val="en-US" w:eastAsia="zh-CN"/>
        </w:rPr>
        <w:t>~</w:t>
      </w:r>
      <w:r>
        <w:rPr>
          <w:szCs w:val="21"/>
          <w:highlight w:val="none"/>
          <w:lang w:val="en-US" w:eastAsia="zh-CN"/>
        </w:rPr>
        <w:t>孕穗期，应重点开展田间监测与</w:t>
      </w:r>
      <w:r>
        <w:rPr>
          <w:szCs w:val="21"/>
          <w:lang w:val="en-US" w:eastAsia="zh-CN"/>
        </w:rPr>
        <w:t>早期防控，主要防控对象为纹枯病、茎基腐病、根腐病、白粉病、条锈病、麦蜘蛛、蚜虫。</w:t>
      </w:r>
    </w:p>
    <w:p w14:paraId="6DBC75CC">
      <w:pPr>
        <w:numPr>
          <w:ilvl w:val="2"/>
          <w:numId w:val="18"/>
        </w:numPr>
        <w:rPr>
          <w:szCs w:val="21"/>
        </w:rPr>
      </w:pPr>
      <w:r>
        <w:rPr>
          <w:szCs w:val="21"/>
          <w:lang w:val="en-US" w:eastAsia="zh-CN"/>
        </w:rPr>
        <w:t>小麦抽穗扬花期，</w:t>
      </w:r>
      <w:r>
        <w:rPr>
          <w:rFonts w:hint="eastAsia"/>
          <w:szCs w:val="21"/>
          <w:lang w:val="en-US" w:eastAsia="zh-CN"/>
        </w:rPr>
        <w:t>应</w:t>
      </w:r>
      <w:r>
        <w:rPr>
          <w:szCs w:val="21"/>
          <w:lang w:val="en-US" w:eastAsia="zh-CN"/>
        </w:rPr>
        <w:t>以赤霉病预防为核心，同步开展吸浆虫专项防治。</w:t>
      </w:r>
    </w:p>
    <w:p w14:paraId="72211134">
      <w:pPr>
        <w:numPr>
          <w:ilvl w:val="2"/>
          <w:numId w:val="18"/>
        </w:numPr>
        <w:rPr>
          <w:szCs w:val="21"/>
        </w:rPr>
      </w:pPr>
      <w:r>
        <w:rPr>
          <w:szCs w:val="21"/>
          <w:lang w:val="en-US" w:eastAsia="zh-CN"/>
        </w:rPr>
        <w:t>小麦灌浆期宜实施“一喷三防”技术，综合防控白粉病、锈病、赤霉病、叶枯病、蚜虫等病虫害。</w:t>
      </w:r>
    </w:p>
    <w:p w14:paraId="1F01A22A">
      <w:pPr>
        <w:pStyle w:val="3"/>
        <w:keepNext w:val="0"/>
        <w:keepLines w:val="0"/>
        <w:numPr>
          <w:ilvl w:val="1"/>
          <w:numId w:val="18"/>
        </w:numPr>
        <w:tabs>
          <w:tab w:val="left" w:pos="420"/>
        </w:tabs>
        <w:spacing w:before="156" w:beforeLines="50" w:after="156" w:afterLines="50" w:line="440" w:lineRule="exact"/>
        <w:jc w:val="left"/>
        <w:rPr>
          <w:rFonts w:ascii="Times New Roman" w:hAnsi="Times New Roman"/>
          <w:b w:val="0"/>
          <w:sz w:val="21"/>
          <w:szCs w:val="21"/>
          <w:highlight w:val="none"/>
        </w:rPr>
      </w:pPr>
      <w:bookmarkStart w:id="87" w:name="_Toc5819"/>
      <w:bookmarkStart w:id="88" w:name="_Toc235478399"/>
      <w:r>
        <w:rPr>
          <w:rFonts w:hint="eastAsia" w:ascii="Times New Roman" w:hAnsi="Times New Roman"/>
          <w:b w:val="0"/>
          <w:sz w:val="21"/>
          <w:szCs w:val="21"/>
          <w:highlight w:val="none"/>
        </w:rPr>
        <w:t>夏玉米</w:t>
      </w:r>
      <w:bookmarkEnd w:id="87"/>
      <w:bookmarkEnd w:id="88"/>
    </w:p>
    <w:p w14:paraId="333F8E27">
      <w:pPr>
        <w:numPr>
          <w:ilvl w:val="2"/>
          <w:numId w:val="18"/>
        </w:numPr>
        <w:ind w:left="0" w:leftChars="0" w:firstLine="0" w:firstLineChars="0"/>
        <w:rPr>
          <w:highlight w:val="none"/>
          <w:lang w:val="en-US" w:eastAsia="zh-CN"/>
        </w:rPr>
      </w:pPr>
      <w:r>
        <w:rPr>
          <w:rFonts w:hint="eastAsia"/>
          <w:highlight w:val="none"/>
          <w:lang w:val="en-US" w:eastAsia="zh-CN"/>
        </w:rPr>
        <w:t>夏玉米除草时期应按</w:t>
      </w:r>
      <w:r>
        <w:rPr>
          <w:highlight w:val="none"/>
          <w:lang w:val="en-US" w:eastAsia="zh-CN"/>
        </w:rPr>
        <w:t>NY/T 4770</w:t>
      </w:r>
      <w:r>
        <w:rPr>
          <w:rFonts w:hint="eastAsia"/>
          <w:highlight w:val="none"/>
          <w:lang w:val="en-US" w:eastAsia="zh-CN"/>
        </w:rPr>
        <w:t>的规定执行。</w:t>
      </w:r>
    </w:p>
    <w:p w14:paraId="2B29F5DF">
      <w:pPr>
        <w:numPr>
          <w:ilvl w:val="2"/>
          <w:numId w:val="18"/>
        </w:numPr>
        <w:rPr>
          <w:szCs w:val="21"/>
        </w:rPr>
      </w:pPr>
      <w:r>
        <w:rPr>
          <w:szCs w:val="21"/>
          <w:lang w:val="en-US" w:eastAsia="zh-CN"/>
        </w:rPr>
        <w:t>玉米拔节</w:t>
      </w:r>
      <w:r>
        <w:rPr>
          <w:rFonts w:hint="eastAsia"/>
          <w:szCs w:val="21"/>
          <w:lang w:val="en-US" w:eastAsia="zh-CN"/>
        </w:rPr>
        <w:t>~</w:t>
      </w:r>
      <w:r>
        <w:rPr>
          <w:szCs w:val="21"/>
          <w:lang w:val="en-US" w:eastAsia="zh-CN"/>
        </w:rPr>
        <w:t>大喇叭口期，应强化田间病虫监测，对玉米螟、粘虫、棉铃虫、玉米蚜等虫害及大斑病、小斑病、纹枯病、褐斑病等病害实施早防早控。</w:t>
      </w:r>
    </w:p>
    <w:p w14:paraId="4AA4E1D7">
      <w:pPr>
        <w:numPr>
          <w:ilvl w:val="2"/>
          <w:numId w:val="18"/>
        </w:numPr>
        <w:rPr>
          <w:szCs w:val="21"/>
        </w:rPr>
      </w:pPr>
      <w:r>
        <w:rPr>
          <w:szCs w:val="21"/>
          <w:lang w:val="en-US" w:eastAsia="zh-CN"/>
        </w:rPr>
        <w:t>玉米抽雄吐丝期</w:t>
      </w:r>
      <w:r>
        <w:rPr>
          <w:rFonts w:hint="eastAsia"/>
          <w:szCs w:val="21"/>
          <w:lang w:val="en-US" w:eastAsia="zh-CN"/>
        </w:rPr>
        <w:t>应</w:t>
      </w:r>
      <w:r>
        <w:rPr>
          <w:szCs w:val="21"/>
          <w:lang w:val="en-US" w:eastAsia="zh-CN"/>
        </w:rPr>
        <w:t>重点开展穗部病虫害防控，主攻玉米螟、棉铃虫、桃蛀螟、穗蚜等穗部害虫，同步预防南方锈病、穗腐病、弯孢霉叶斑病等高危病害。</w:t>
      </w:r>
    </w:p>
    <w:p w14:paraId="5BCD4C70">
      <w:pPr>
        <w:numPr>
          <w:ilvl w:val="2"/>
          <w:numId w:val="18"/>
        </w:numPr>
        <w:rPr>
          <w:szCs w:val="21"/>
        </w:rPr>
      </w:pPr>
      <w:r>
        <w:rPr>
          <w:szCs w:val="21"/>
          <w:lang w:val="en-US" w:eastAsia="zh-CN"/>
        </w:rPr>
        <w:t>玉米灌浆期宜实施“一喷多效”防控技术，综合防治南方锈病、大斑病、小斑病、穗腐病及蚜虫、红蜘蛛、残留玉米螟等病虫害。</w:t>
      </w:r>
    </w:p>
    <w:bookmarkEnd w:id="16"/>
    <w:bookmarkEnd w:id="49"/>
    <w:bookmarkEnd w:id="50"/>
    <w:bookmarkEnd w:id="51"/>
    <w:bookmarkEnd w:id="52"/>
    <w:bookmarkEnd w:id="53"/>
    <w:bookmarkEnd w:id="54"/>
    <w:bookmarkEnd w:id="55"/>
    <w:bookmarkEnd w:id="56"/>
    <w:bookmarkEnd w:id="57"/>
    <w:bookmarkEnd w:id="58"/>
    <w:bookmarkEnd w:id="59"/>
    <w:bookmarkEnd w:id="60"/>
    <w:bookmarkEnd w:id="61"/>
    <w:p w14:paraId="0A657B91">
      <w:pPr>
        <w:keepNext/>
        <w:keepLines/>
        <w:pageBreakBefore/>
        <w:spacing w:before="156" w:beforeLines="50"/>
        <w:jc w:val="center"/>
        <w:outlineLvl w:val="0"/>
        <w:rPr>
          <w:rFonts w:hint="eastAsia" w:eastAsia="黑体"/>
          <w:b/>
          <w:kern w:val="44"/>
          <w:szCs w:val="20"/>
          <w:lang w:eastAsia="zh-CN"/>
        </w:rPr>
      </w:pPr>
      <w:bookmarkStart w:id="89" w:name="_Toc235478406"/>
      <w:bookmarkStart w:id="90" w:name="_Toc1564"/>
      <w:bookmarkStart w:id="91" w:name="_Toc235478403"/>
      <w:r>
        <w:rPr>
          <w:rFonts w:eastAsia="黑体"/>
          <w:b/>
          <w:kern w:val="44"/>
          <w:szCs w:val="20"/>
        </w:rPr>
        <w:t>附录</w:t>
      </w:r>
      <w:bookmarkEnd w:id="89"/>
      <w:r>
        <w:rPr>
          <w:rFonts w:hint="eastAsia" w:eastAsia="黑体"/>
          <w:b/>
          <w:kern w:val="44"/>
          <w:szCs w:val="20"/>
          <w:lang w:val="en-US" w:eastAsia="zh-CN"/>
        </w:rPr>
        <w:t>A</w:t>
      </w:r>
      <w:bookmarkEnd w:id="90"/>
    </w:p>
    <w:p w14:paraId="370A3FD3">
      <w:pPr>
        <w:keepNext/>
        <w:keepLines/>
        <w:spacing w:before="156" w:beforeLines="50" w:after="156" w:afterLines="50"/>
        <w:jc w:val="center"/>
        <w:outlineLvl w:val="0"/>
        <w:rPr>
          <w:rFonts w:eastAsia="黑体"/>
          <w:bCs/>
          <w:kern w:val="44"/>
          <w:szCs w:val="20"/>
        </w:rPr>
      </w:pPr>
      <w:bookmarkStart w:id="92" w:name="_Toc235478407"/>
      <w:bookmarkStart w:id="93" w:name="_Toc16572"/>
      <w:bookmarkStart w:id="94" w:name="_Toc22630"/>
      <w:bookmarkStart w:id="95" w:name="_Toc3419"/>
      <w:bookmarkStart w:id="96" w:name="_Toc27443"/>
      <w:r>
        <w:rPr>
          <w:rFonts w:eastAsia="黑体"/>
          <w:bCs/>
          <w:kern w:val="44"/>
          <w:szCs w:val="20"/>
        </w:rPr>
        <w:t>（资料性）</w:t>
      </w:r>
      <w:bookmarkEnd w:id="92"/>
      <w:bookmarkEnd w:id="93"/>
      <w:bookmarkEnd w:id="94"/>
      <w:bookmarkEnd w:id="95"/>
      <w:bookmarkEnd w:id="96"/>
    </w:p>
    <w:p w14:paraId="2E32D26A">
      <w:pPr>
        <w:keepNext/>
        <w:keepLines/>
        <w:spacing w:before="156" w:beforeLines="50" w:after="156" w:afterLines="50"/>
        <w:jc w:val="center"/>
        <w:outlineLvl w:val="0"/>
        <w:rPr>
          <w:rFonts w:eastAsia="黑体"/>
          <w:bCs/>
          <w:kern w:val="44"/>
          <w:szCs w:val="20"/>
        </w:rPr>
      </w:pPr>
      <w:bookmarkStart w:id="97" w:name="_Toc235478408"/>
      <w:bookmarkStart w:id="98" w:name="_Toc16373"/>
      <w:bookmarkStart w:id="99" w:name="_Toc6548"/>
      <w:bookmarkStart w:id="100" w:name="_Toc21304"/>
      <w:bookmarkStart w:id="101" w:name="_Toc16032"/>
      <w:bookmarkStart w:id="102" w:name="_Toc24770"/>
      <w:r>
        <w:rPr>
          <w:rFonts w:hint="eastAsia" w:eastAsia="黑体"/>
          <w:bCs/>
          <w:kern w:val="44"/>
          <w:szCs w:val="20"/>
        </w:rPr>
        <w:t>冬小麦和夏玉米施肥量推荐表</w:t>
      </w:r>
      <w:bookmarkEnd w:id="97"/>
      <w:bookmarkEnd w:id="98"/>
      <w:bookmarkEnd w:id="99"/>
      <w:bookmarkEnd w:id="100"/>
      <w:bookmarkEnd w:id="101"/>
      <w:bookmarkEnd w:id="102"/>
    </w:p>
    <w:p w14:paraId="394956CB">
      <w:pPr>
        <w:widowControl/>
        <w:ind w:firstLine="420" w:firstLineChars="200"/>
        <w:jc w:val="left"/>
        <w:rPr>
          <w:szCs w:val="21"/>
        </w:rPr>
      </w:pPr>
      <w:r>
        <w:rPr>
          <w:szCs w:val="21"/>
        </w:rPr>
        <w:t>表</w:t>
      </w:r>
      <w:r>
        <w:rPr>
          <w:rFonts w:hint="eastAsia"/>
          <w:szCs w:val="21"/>
          <w:lang w:val="en-US" w:eastAsia="zh-CN"/>
        </w:rPr>
        <w:t>A</w:t>
      </w:r>
      <w:r>
        <w:rPr>
          <w:szCs w:val="21"/>
        </w:rPr>
        <w:t>.1</w:t>
      </w:r>
      <w:r>
        <w:rPr>
          <w:rFonts w:hint="eastAsia"/>
          <w:szCs w:val="21"/>
        </w:rPr>
        <w:t>和表</w:t>
      </w:r>
      <w:r>
        <w:rPr>
          <w:rFonts w:hint="eastAsia"/>
          <w:szCs w:val="21"/>
          <w:lang w:val="en-US" w:eastAsia="zh-CN"/>
        </w:rPr>
        <w:t>A</w:t>
      </w:r>
      <w:r>
        <w:rPr>
          <w:rFonts w:hint="eastAsia"/>
          <w:szCs w:val="21"/>
        </w:rPr>
        <w:t>.2</w:t>
      </w:r>
      <w:r>
        <w:rPr>
          <w:rFonts w:hint="eastAsia"/>
          <w:szCs w:val="21"/>
          <w:lang w:val="en-US" w:eastAsia="zh-CN"/>
        </w:rPr>
        <w:t>分别</w:t>
      </w:r>
      <w:r>
        <w:rPr>
          <w:rFonts w:hint="eastAsia"/>
          <w:szCs w:val="21"/>
        </w:rPr>
        <w:t>给出了冬小麦</w:t>
      </w:r>
      <w:r>
        <w:rPr>
          <w:rFonts w:hint="eastAsia"/>
          <w:szCs w:val="21"/>
          <w:lang w:val="en-US" w:eastAsia="zh-CN"/>
        </w:rPr>
        <w:t>和夏玉米</w:t>
      </w:r>
      <w:r>
        <w:rPr>
          <w:rFonts w:hint="eastAsia"/>
          <w:szCs w:val="21"/>
        </w:rPr>
        <w:t>氮磷钾肥施用量。</w:t>
      </w:r>
    </w:p>
    <w:p w14:paraId="5FB9643B">
      <w:pPr>
        <w:pStyle w:val="108"/>
        <w:numPr>
          <w:ilvl w:val="0"/>
          <w:numId w:val="0"/>
        </w:numPr>
        <w:tabs>
          <w:tab w:val="left" w:pos="210"/>
        </w:tabs>
        <w:spacing w:before="156" w:beforeLines="50" w:after="156" w:afterLines="50"/>
        <w:ind w:left="403"/>
        <w:rPr>
          <w:rFonts w:eastAsia="宋体"/>
        </w:rPr>
      </w:pPr>
      <w:r>
        <w:rPr>
          <w:rFonts w:hint="eastAsia" w:ascii="Times New Roman"/>
          <w:bCs/>
          <w:kern w:val="44"/>
        </w:rPr>
        <w:t>表</w:t>
      </w:r>
      <w:r>
        <w:rPr>
          <w:rFonts w:hint="eastAsia" w:ascii="Times New Roman"/>
          <w:bCs/>
          <w:kern w:val="44"/>
          <w:lang w:val="en-US" w:eastAsia="zh-CN"/>
        </w:rPr>
        <w:t>A</w:t>
      </w:r>
      <w:r>
        <w:rPr>
          <w:rFonts w:hint="eastAsia" w:ascii="Times New Roman"/>
          <w:bCs/>
          <w:kern w:val="44"/>
        </w:rPr>
        <w:t xml:space="preserve">.1  冬小麦施肥量推荐表  </w:t>
      </w:r>
      <w:r>
        <w:rPr>
          <w:rFonts w:hint="eastAsia"/>
          <w:bCs/>
          <w:color w:val="000000"/>
          <w:szCs w:val="21"/>
        </w:rPr>
        <w:t xml:space="preserve">     </w:t>
      </w:r>
    </w:p>
    <w:tbl>
      <w:tblPr>
        <w:tblStyle w:val="33"/>
        <w:tblW w:w="5000" w:type="pct"/>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8" w:type="dxa"/>
          <w:bottom w:w="0" w:type="dxa"/>
          <w:right w:w="108" w:type="dxa"/>
        </w:tblCellMar>
      </w:tblPr>
      <w:tblGrid>
        <w:gridCol w:w="1524"/>
        <w:gridCol w:w="1336"/>
        <w:gridCol w:w="1089"/>
        <w:gridCol w:w="1458"/>
        <w:gridCol w:w="1288"/>
        <w:gridCol w:w="1455"/>
        <w:gridCol w:w="1420"/>
      </w:tblGrid>
      <w:tr w14:paraId="50A499F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7"/>
            <w:tcBorders>
              <w:top w:val="single" w:color="auto" w:sz="4" w:space="0"/>
              <w:left w:val="single" w:color="auto" w:sz="4" w:space="0"/>
              <w:bottom w:val="single" w:color="auto" w:sz="4" w:space="0"/>
              <w:right w:val="single" w:color="auto" w:sz="4" w:space="0"/>
              <w:tl2br w:val="nil"/>
              <w:tr2bl w:val="nil"/>
            </w:tcBorders>
          </w:tcPr>
          <w:p w14:paraId="1B36B04A">
            <w:pPr>
              <w:jc w:val="center"/>
              <w:rPr>
                <w:sz w:val="18"/>
                <w:szCs w:val="18"/>
              </w:rPr>
            </w:pPr>
            <w:r>
              <w:rPr>
                <w:color w:val="000000"/>
                <w:sz w:val="18"/>
                <w:szCs w:val="18"/>
              </w:rPr>
              <w:t>测土配方施肥技术指标</w:t>
            </w:r>
          </w:p>
        </w:tc>
      </w:tr>
      <w:tr w14:paraId="1F4E87E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jc w:val="center"/>
        </w:trPr>
        <w:tc>
          <w:tcPr>
            <w:tcW w:w="2063" w:type="pct"/>
            <w:gridSpan w:val="3"/>
            <w:tcBorders>
              <w:top w:val="single" w:color="auto" w:sz="4" w:space="0"/>
              <w:left w:val="single" w:color="auto" w:sz="4" w:space="0"/>
              <w:bottom w:val="single" w:color="auto" w:sz="4" w:space="0"/>
              <w:right w:val="single" w:color="auto" w:sz="4" w:space="0"/>
              <w:tl2br w:val="nil"/>
              <w:tr2bl w:val="nil"/>
            </w:tcBorders>
            <w:vAlign w:val="center"/>
          </w:tcPr>
          <w:p w14:paraId="2FC776A9">
            <w:pPr>
              <w:spacing w:line="320" w:lineRule="exact"/>
              <w:jc w:val="center"/>
              <w:rPr>
                <w:color w:val="000000"/>
                <w:sz w:val="18"/>
                <w:szCs w:val="18"/>
              </w:rPr>
            </w:pPr>
            <w:r>
              <w:rPr>
                <w:color w:val="000000"/>
                <w:sz w:val="18"/>
                <w:szCs w:val="18"/>
              </w:rPr>
              <w:t>氮（N）</w:t>
            </w:r>
          </w:p>
        </w:tc>
        <w:tc>
          <w:tcPr>
            <w:tcW w:w="1435" w:type="pct"/>
            <w:gridSpan w:val="2"/>
            <w:tcBorders>
              <w:top w:val="single" w:color="auto" w:sz="4" w:space="0"/>
              <w:left w:val="single" w:color="auto" w:sz="4" w:space="0"/>
              <w:bottom w:val="single" w:color="auto" w:sz="4" w:space="0"/>
              <w:right w:val="single" w:color="auto" w:sz="4" w:space="0"/>
              <w:tl2br w:val="nil"/>
              <w:tr2bl w:val="nil"/>
            </w:tcBorders>
            <w:vAlign w:val="center"/>
          </w:tcPr>
          <w:p w14:paraId="5E0C3615">
            <w:pPr>
              <w:spacing w:line="320" w:lineRule="exact"/>
              <w:jc w:val="center"/>
              <w:rPr>
                <w:color w:val="000000"/>
                <w:sz w:val="18"/>
                <w:szCs w:val="18"/>
              </w:rPr>
            </w:pPr>
            <w:r>
              <w:rPr>
                <w:color w:val="000000"/>
                <w:sz w:val="18"/>
                <w:szCs w:val="18"/>
              </w:rPr>
              <w:t>磷（P</w:t>
            </w:r>
            <w:r>
              <w:rPr>
                <w:color w:val="000000"/>
                <w:sz w:val="18"/>
                <w:szCs w:val="18"/>
                <w:vertAlign w:val="subscript"/>
              </w:rPr>
              <w:t>2</w:t>
            </w:r>
            <w:r>
              <w:rPr>
                <w:color w:val="000000"/>
                <w:sz w:val="18"/>
                <w:szCs w:val="18"/>
              </w:rPr>
              <w:t>O</w:t>
            </w:r>
            <w:r>
              <w:rPr>
                <w:color w:val="000000"/>
                <w:sz w:val="18"/>
                <w:szCs w:val="18"/>
                <w:vertAlign w:val="subscript"/>
              </w:rPr>
              <w:t>5</w:t>
            </w:r>
            <w:r>
              <w:rPr>
                <w:color w:val="000000"/>
                <w:sz w:val="18"/>
                <w:szCs w:val="18"/>
              </w:rPr>
              <w:t>）</w:t>
            </w:r>
          </w:p>
        </w:tc>
        <w:tc>
          <w:tcPr>
            <w:tcW w:w="1500" w:type="pct"/>
            <w:gridSpan w:val="2"/>
            <w:tcBorders>
              <w:top w:val="single" w:color="auto" w:sz="4" w:space="0"/>
              <w:left w:val="single" w:color="auto" w:sz="4" w:space="0"/>
              <w:bottom w:val="single" w:color="auto" w:sz="4" w:space="0"/>
              <w:right w:val="single" w:color="auto" w:sz="4" w:space="0"/>
              <w:tl2br w:val="nil"/>
              <w:tr2bl w:val="nil"/>
            </w:tcBorders>
            <w:vAlign w:val="center"/>
          </w:tcPr>
          <w:p w14:paraId="32C1FA07">
            <w:pPr>
              <w:spacing w:line="320" w:lineRule="exact"/>
              <w:jc w:val="center"/>
              <w:rPr>
                <w:color w:val="000000"/>
                <w:sz w:val="18"/>
                <w:szCs w:val="18"/>
              </w:rPr>
            </w:pPr>
            <w:r>
              <w:rPr>
                <w:color w:val="000000"/>
                <w:sz w:val="18"/>
                <w:szCs w:val="18"/>
              </w:rPr>
              <w:t>钾（K</w:t>
            </w:r>
            <w:r>
              <w:rPr>
                <w:color w:val="000000"/>
                <w:sz w:val="18"/>
                <w:szCs w:val="18"/>
                <w:vertAlign w:val="subscript"/>
              </w:rPr>
              <w:t>2</w:t>
            </w:r>
            <w:r>
              <w:rPr>
                <w:color w:val="000000"/>
                <w:sz w:val="18"/>
                <w:szCs w:val="18"/>
              </w:rPr>
              <w:t>O）</w:t>
            </w:r>
          </w:p>
        </w:tc>
      </w:tr>
      <w:tr w14:paraId="32CBFAC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jc w:val="center"/>
        </w:trPr>
        <w:tc>
          <w:tcPr>
            <w:tcW w:w="796" w:type="pct"/>
            <w:tcBorders>
              <w:top w:val="single" w:color="auto" w:sz="4" w:space="0"/>
              <w:left w:val="single" w:color="auto" w:sz="4" w:space="0"/>
              <w:bottom w:val="single" w:color="auto" w:sz="4" w:space="0"/>
              <w:right w:val="single" w:color="auto" w:sz="4" w:space="0"/>
              <w:tl2br w:val="nil"/>
              <w:tr2bl w:val="nil"/>
            </w:tcBorders>
            <w:vAlign w:val="center"/>
          </w:tcPr>
          <w:p w14:paraId="5FAF4249">
            <w:pPr>
              <w:spacing w:line="320" w:lineRule="exact"/>
              <w:jc w:val="center"/>
              <w:rPr>
                <w:color w:val="000000"/>
                <w:sz w:val="18"/>
                <w:szCs w:val="18"/>
              </w:rPr>
            </w:pPr>
            <w:r>
              <w:rPr>
                <w:color w:val="000000"/>
                <w:sz w:val="18"/>
                <w:szCs w:val="18"/>
              </w:rPr>
              <w:t>产量水平</w:t>
            </w:r>
          </w:p>
          <w:p w14:paraId="1DE8F74B">
            <w:pPr>
              <w:spacing w:line="320" w:lineRule="exact"/>
              <w:jc w:val="center"/>
              <w:rPr>
                <w:color w:val="000000"/>
                <w:sz w:val="18"/>
                <w:szCs w:val="18"/>
              </w:rPr>
            </w:pPr>
            <w:r>
              <w:rPr>
                <w:color w:val="000000"/>
                <w:sz w:val="18"/>
                <w:szCs w:val="18"/>
              </w:rPr>
              <w:t>（kg/亩）</w:t>
            </w:r>
          </w:p>
        </w:tc>
        <w:tc>
          <w:tcPr>
            <w:tcW w:w="698" w:type="pct"/>
            <w:tcBorders>
              <w:top w:val="single" w:color="auto" w:sz="4" w:space="0"/>
              <w:left w:val="single" w:color="auto" w:sz="4" w:space="0"/>
              <w:bottom w:val="single" w:color="auto" w:sz="4" w:space="0"/>
              <w:right w:val="single" w:color="auto" w:sz="4" w:space="0"/>
              <w:tl2br w:val="nil"/>
              <w:tr2bl w:val="nil"/>
            </w:tcBorders>
            <w:vAlign w:val="center"/>
          </w:tcPr>
          <w:p w14:paraId="73EC1033">
            <w:pPr>
              <w:spacing w:line="320" w:lineRule="exact"/>
              <w:jc w:val="center"/>
              <w:rPr>
                <w:color w:val="000000"/>
                <w:sz w:val="18"/>
                <w:szCs w:val="18"/>
              </w:rPr>
            </w:pPr>
            <w:r>
              <w:rPr>
                <w:color w:val="000000"/>
                <w:sz w:val="18"/>
                <w:szCs w:val="18"/>
              </w:rPr>
              <w:t>施肥量</w:t>
            </w:r>
          </w:p>
          <w:p w14:paraId="5D371F97">
            <w:pPr>
              <w:spacing w:line="320" w:lineRule="exact"/>
              <w:jc w:val="center"/>
              <w:rPr>
                <w:color w:val="000000"/>
                <w:sz w:val="18"/>
                <w:szCs w:val="18"/>
              </w:rPr>
            </w:pPr>
            <w:r>
              <w:rPr>
                <w:color w:val="000000"/>
                <w:sz w:val="18"/>
                <w:szCs w:val="18"/>
              </w:rPr>
              <w:t>（kg/亩）</w:t>
            </w:r>
          </w:p>
        </w:tc>
        <w:tc>
          <w:tcPr>
            <w:tcW w:w="568" w:type="pct"/>
            <w:tcBorders>
              <w:top w:val="single" w:color="auto" w:sz="4" w:space="0"/>
              <w:left w:val="single" w:color="auto" w:sz="4" w:space="0"/>
              <w:bottom w:val="single" w:color="auto" w:sz="4" w:space="0"/>
              <w:right w:val="single" w:color="auto" w:sz="4" w:space="0"/>
              <w:tl2br w:val="nil"/>
              <w:tr2bl w:val="nil"/>
            </w:tcBorders>
            <w:vAlign w:val="center"/>
          </w:tcPr>
          <w:p w14:paraId="0E8F4E04">
            <w:pPr>
              <w:spacing w:line="320" w:lineRule="exact"/>
              <w:jc w:val="center"/>
              <w:rPr>
                <w:color w:val="000000"/>
                <w:sz w:val="18"/>
                <w:szCs w:val="18"/>
              </w:rPr>
            </w:pPr>
            <w:r>
              <w:rPr>
                <w:rFonts w:hint="eastAsia"/>
                <w:color w:val="000000"/>
                <w:sz w:val="18"/>
                <w:szCs w:val="18"/>
              </w:rPr>
              <w:t>基</w:t>
            </w:r>
            <w:r>
              <w:rPr>
                <w:color w:val="000000"/>
                <w:sz w:val="18"/>
                <w:szCs w:val="18"/>
              </w:rPr>
              <w:t>追比</w:t>
            </w:r>
          </w:p>
        </w:tc>
        <w:tc>
          <w:tcPr>
            <w:tcW w:w="762" w:type="pct"/>
            <w:tcBorders>
              <w:top w:val="single" w:color="auto" w:sz="4" w:space="0"/>
              <w:left w:val="single" w:color="auto" w:sz="4" w:space="0"/>
              <w:bottom w:val="single" w:color="auto" w:sz="4" w:space="0"/>
              <w:right w:val="single" w:color="auto" w:sz="4" w:space="0"/>
              <w:tl2br w:val="nil"/>
              <w:tr2bl w:val="nil"/>
            </w:tcBorders>
            <w:vAlign w:val="center"/>
          </w:tcPr>
          <w:p w14:paraId="0923AA88">
            <w:pPr>
              <w:spacing w:line="320" w:lineRule="exact"/>
              <w:jc w:val="center"/>
              <w:rPr>
                <w:color w:val="000000"/>
                <w:sz w:val="18"/>
                <w:szCs w:val="18"/>
              </w:rPr>
            </w:pPr>
            <w:r>
              <w:rPr>
                <w:rFonts w:hint="eastAsia"/>
                <w:color w:val="000000"/>
                <w:sz w:val="18"/>
                <w:szCs w:val="18"/>
              </w:rPr>
              <w:t>土壤有效磷</w:t>
            </w:r>
            <w:r>
              <w:rPr>
                <w:color w:val="000000"/>
                <w:sz w:val="18"/>
                <w:szCs w:val="18"/>
              </w:rPr>
              <w:t>（P</w:t>
            </w:r>
            <w:r>
              <w:rPr>
                <w:rFonts w:hint="eastAsia"/>
                <w:color w:val="000000"/>
                <w:sz w:val="18"/>
                <w:szCs w:val="18"/>
              </w:rPr>
              <w:t>，</w:t>
            </w:r>
            <w:r>
              <w:rPr>
                <w:color w:val="000000"/>
                <w:sz w:val="18"/>
                <w:szCs w:val="18"/>
              </w:rPr>
              <w:t>mg/kg)</w:t>
            </w:r>
          </w:p>
        </w:tc>
        <w:tc>
          <w:tcPr>
            <w:tcW w:w="672" w:type="pct"/>
            <w:tcBorders>
              <w:top w:val="single" w:color="auto" w:sz="4" w:space="0"/>
              <w:left w:val="single" w:color="auto" w:sz="4" w:space="0"/>
              <w:bottom w:val="single" w:color="auto" w:sz="4" w:space="0"/>
              <w:right w:val="single" w:color="auto" w:sz="4" w:space="0"/>
              <w:tl2br w:val="nil"/>
              <w:tr2bl w:val="nil"/>
            </w:tcBorders>
            <w:vAlign w:val="center"/>
          </w:tcPr>
          <w:p w14:paraId="552E100E">
            <w:pPr>
              <w:spacing w:line="320" w:lineRule="exact"/>
              <w:jc w:val="center"/>
              <w:rPr>
                <w:color w:val="000000"/>
                <w:sz w:val="18"/>
                <w:szCs w:val="18"/>
              </w:rPr>
            </w:pPr>
            <w:r>
              <w:rPr>
                <w:color w:val="000000"/>
                <w:sz w:val="18"/>
                <w:szCs w:val="18"/>
              </w:rPr>
              <w:t>施肥量</w:t>
            </w:r>
          </w:p>
          <w:p w14:paraId="1447FB7C">
            <w:pPr>
              <w:spacing w:line="320" w:lineRule="exact"/>
              <w:jc w:val="center"/>
              <w:rPr>
                <w:color w:val="000000"/>
                <w:sz w:val="18"/>
                <w:szCs w:val="18"/>
              </w:rPr>
            </w:pPr>
            <w:r>
              <w:rPr>
                <w:color w:val="000000"/>
                <w:sz w:val="18"/>
                <w:szCs w:val="18"/>
              </w:rPr>
              <w:t>（P</w:t>
            </w:r>
            <w:r>
              <w:rPr>
                <w:color w:val="000000"/>
                <w:sz w:val="18"/>
                <w:szCs w:val="18"/>
                <w:vertAlign w:val="subscript"/>
              </w:rPr>
              <w:t>2</w:t>
            </w:r>
            <w:r>
              <w:rPr>
                <w:color w:val="000000"/>
                <w:sz w:val="18"/>
                <w:szCs w:val="18"/>
              </w:rPr>
              <w:t>O</w:t>
            </w:r>
            <w:r>
              <w:rPr>
                <w:color w:val="000000"/>
                <w:sz w:val="18"/>
                <w:szCs w:val="18"/>
                <w:vertAlign w:val="subscript"/>
              </w:rPr>
              <w:t>5</w:t>
            </w:r>
            <w:r>
              <w:rPr>
                <w:rFonts w:hint="eastAsia"/>
                <w:color w:val="000000"/>
                <w:sz w:val="18"/>
                <w:szCs w:val="18"/>
              </w:rPr>
              <w:t>，</w:t>
            </w:r>
          </w:p>
          <w:p w14:paraId="7B34A423">
            <w:pPr>
              <w:spacing w:line="320" w:lineRule="exact"/>
              <w:jc w:val="center"/>
              <w:rPr>
                <w:color w:val="000000"/>
                <w:sz w:val="18"/>
                <w:szCs w:val="18"/>
              </w:rPr>
            </w:pPr>
            <w:r>
              <w:rPr>
                <w:color w:val="000000"/>
                <w:sz w:val="18"/>
                <w:szCs w:val="18"/>
              </w:rPr>
              <w:t>kg/亩）</w:t>
            </w:r>
          </w:p>
        </w:tc>
        <w:tc>
          <w:tcPr>
            <w:tcW w:w="760" w:type="pct"/>
            <w:tcBorders>
              <w:top w:val="single" w:color="auto" w:sz="4" w:space="0"/>
              <w:left w:val="single" w:color="auto" w:sz="4" w:space="0"/>
              <w:bottom w:val="single" w:color="auto" w:sz="4" w:space="0"/>
              <w:right w:val="single" w:color="auto" w:sz="4" w:space="0"/>
              <w:tl2br w:val="nil"/>
              <w:tr2bl w:val="nil"/>
            </w:tcBorders>
            <w:vAlign w:val="center"/>
          </w:tcPr>
          <w:p w14:paraId="1D48690E">
            <w:pPr>
              <w:spacing w:line="320" w:lineRule="exact"/>
              <w:jc w:val="center"/>
              <w:rPr>
                <w:color w:val="000000"/>
                <w:sz w:val="18"/>
                <w:szCs w:val="18"/>
              </w:rPr>
            </w:pPr>
            <w:r>
              <w:rPr>
                <w:rFonts w:hint="eastAsia"/>
                <w:color w:val="000000"/>
                <w:sz w:val="18"/>
                <w:szCs w:val="18"/>
              </w:rPr>
              <w:t>土壤速效钾</w:t>
            </w:r>
            <w:r>
              <w:rPr>
                <w:color w:val="000000"/>
                <w:sz w:val="18"/>
                <w:szCs w:val="18"/>
              </w:rPr>
              <w:t>(K</w:t>
            </w:r>
            <w:r>
              <w:rPr>
                <w:rFonts w:hint="eastAsia"/>
                <w:color w:val="000000"/>
                <w:sz w:val="18"/>
                <w:szCs w:val="18"/>
              </w:rPr>
              <w:t>，</w:t>
            </w:r>
            <w:r>
              <w:rPr>
                <w:color w:val="000000"/>
                <w:sz w:val="18"/>
                <w:szCs w:val="18"/>
              </w:rPr>
              <w:t>mg/kg)</w:t>
            </w:r>
          </w:p>
        </w:tc>
        <w:tc>
          <w:tcPr>
            <w:tcW w:w="740" w:type="pct"/>
            <w:tcBorders>
              <w:top w:val="single" w:color="auto" w:sz="4" w:space="0"/>
              <w:left w:val="single" w:color="auto" w:sz="4" w:space="0"/>
              <w:bottom w:val="single" w:color="auto" w:sz="4" w:space="0"/>
              <w:right w:val="single" w:color="auto" w:sz="4" w:space="0"/>
              <w:tl2br w:val="nil"/>
              <w:tr2bl w:val="nil"/>
            </w:tcBorders>
            <w:vAlign w:val="center"/>
          </w:tcPr>
          <w:p w14:paraId="2EBF6838">
            <w:pPr>
              <w:spacing w:line="320" w:lineRule="exact"/>
              <w:jc w:val="center"/>
              <w:rPr>
                <w:color w:val="000000"/>
                <w:sz w:val="18"/>
                <w:szCs w:val="18"/>
              </w:rPr>
            </w:pPr>
            <w:r>
              <w:rPr>
                <w:color w:val="000000"/>
                <w:sz w:val="18"/>
                <w:szCs w:val="18"/>
              </w:rPr>
              <w:t>施肥量</w:t>
            </w:r>
          </w:p>
          <w:p w14:paraId="06CEA7A1">
            <w:pPr>
              <w:spacing w:line="320" w:lineRule="exact"/>
              <w:jc w:val="center"/>
              <w:rPr>
                <w:color w:val="000000"/>
                <w:sz w:val="18"/>
                <w:szCs w:val="18"/>
              </w:rPr>
            </w:pPr>
            <w:r>
              <w:rPr>
                <w:color w:val="000000"/>
                <w:sz w:val="18"/>
                <w:szCs w:val="18"/>
              </w:rPr>
              <w:t>（K</w:t>
            </w:r>
            <w:r>
              <w:rPr>
                <w:color w:val="000000"/>
                <w:sz w:val="18"/>
                <w:szCs w:val="18"/>
                <w:vertAlign w:val="subscript"/>
              </w:rPr>
              <w:t>2</w:t>
            </w:r>
            <w:r>
              <w:rPr>
                <w:color w:val="000000"/>
                <w:sz w:val="18"/>
                <w:szCs w:val="18"/>
              </w:rPr>
              <w:t>O</w:t>
            </w:r>
            <w:r>
              <w:rPr>
                <w:rFonts w:hint="eastAsia"/>
                <w:color w:val="000000"/>
                <w:sz w:val="18"/>
                <w:szCs w:val="18"/>
              </w:rPr>
              <w:t>，</w:t>
            </w:r>
          </w:p>
          <w:p w14:paraId="441DE1C7">
            <w:pPr>
              <w:spacing w:line="320" w:lineRule="exact"/>
              <w:jc w:val="center"/>
              <w:rPr>
                <w:color w:val="000000"/>
                <w:sz w:val="18"/>
                <w:szCs w:val="18"/>
              </w:rPr>
            </w:pPr>
            <w:r>
              <w:rPr>
                <w:color w:val="000000"/>
                <w:sz w:val="18"/>
                <w:szCs w:val="18"/>
              </w:rPr>
              <w:t xml:space="preserve"> kg/亩）</w:t>
            </w:r>
          </w:p>
        </w:tc>
      </w:tr>
      <w:tr w14:paraId="63B3C91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jc w:val="center"/>
        </w:trPr>
        <w:tc>
          <w:tcPr>
            <w:tcW w:w="796" w:type="pct"/>
            <w:tcBorders>
              <w:top w:val="single" w:color="auto" w:sz="4" w:space="0"/>
              <w:left w:val="single" w:color="auto" w:sz="4" w:space="0"/>
              <w:bottom w:val="single" w:color="auto" w:sz="4" w:space="0"/>
              <w:right w:val="single" w:color="auto" w:sz="4" w:space="0"/>
              <w:tl2br w:val="nil"/>
              <w:tr2bl w:val="nil"/>
            </w:tcBorders>
            <w:vAlign w:val="center"/>
          </w:tcPr>
          <w:p w14:paraId="16FEB801">
            <w:pPr>
              <w:spacing w:line="320" w:lineRule="exact"/>
              <w:jc w:val="center"/>
              <w:rPr>
                <w:sz w:val="18"/>
                <w:szCs w:val="18"/>
              </w:rPr>
            </w:pPr>
            <w:r>
              <w:rPr>
                <w:rFonts w:eastAsia="华文仿宋"/>
                <w:sz w:val="18"/>
                <w:szCs w:val="18"/>
              </w:rPr>
              <w:t>&lt;</w:t>
            </w:r>
            <w:r>
              <w:rPr>
                <w:sz w:val="18"/>
                <w:szCs w:val="18"/>
              </w:rPr>
              <w:t>550</w:t>
            </w:r>
          </w:p>
        </w:tc>
        <w:tc>
          <w:tcPr>
            <w:tcW w:w="698" w:type="pct"/>
            <w:tcBorders>
              <w:top w:val="single" w:color="auto" w:sz="4" w:space="0"/>
              <w:left w:val="single" w:color="auto" w:sz="4" w:space="0"/>
              <w:bottom w:val="single" w:color="auto" w:sz="4" w:space="0"/>
              <w:right w:val="single" w:color="auto" w:sz="4" w:space="0"/>
              <w:tl2br w:val="nil"/>
              <w:tr2bl w:val="nil"/>
            </w:tcBorders>
            <w:vAlign w:val="center"/>
          </w:tcPr>
          <w:p w14:paraId="564D4D3F">
            <w:pPr>
              <w:spacing w:line="320" w:lineRule="exact"/>
              <w:jc w:val="center"/>
              <w:rPr>
                <w:sz w:val="18"/>
                <w:szCs w:val="18"/>
              </w:rPr>
            </w:pPr>
            <w:r>
              <w:rPr>
                <w:sz w:val="18"/>
                <w:szCs w:val="18"/>
              </w:rPr>
              <w:t>11~14</w:t>
            </w:r>
          </w:p>
        </w:tc>
        <w:tc>
          <w:tcPr>
            <w:tcW w:w="568" w:type="pct"/>
            <w:vMerge w:val="restart"/>
            <w:tcBorders>
              <w:top w:val="single" w:color="auto" w:sz="4" w:space="0"/>
              <w:left w:val="single" w:color="auto" w:sz="4" w:space="0"/>
              <w:right w:val="single" w:color="auto" w:sz="4" w:space="0"/>
              <w:tl2br w:val="nil"/>
              <w:tr2bl w:val="nil"/>
            </w:tcBorders>
            <w:vAlign w:val="center"/>
          </w:tcPr>
          <w:p w14:paraId="541FBC92">
            <w:pPr>
              <w:spacing w:line="320" w:lineRule="exact"/>
              <w:jc w:val="center"/>
              <w:rPr>
                <w:sz w:val="18"/>
                <w:szCs w:val="18"/>
              </w:rPr>
            </w:pPr>
            <w:r>
              <w:rPr>
                <w:sz w:val="18"/>
                <w:szCs w:val="18"/>
              </w:rPr>
              <w:t>4:6</w:t>
            </w:r>
            <w:r>
              <w:rPr>
                <w:kern w:val="0"/>
                <w:sz w:val="18"/>
                <w:szCs w:val="18"/>
              </w:rPr>
              <w:t>～</w:t>
            </w:r>
            <w:r>
              <w:rPr>
                <w:sz w:val="18"/>
                <w:szCs w:val="18"/>
              </w:rPr>
              <w:t>5:5</w:t>
            </w:r>
          </w:p>
        </w:tc>
        <w:tc>
          <w:tcPr>
            <w:tcW w:w="762" w:type="pct"/>
            <w:tcBorders>
              <w:top w:val="single" w:color="auto" w:sz="4" w:space="0"/>
              <w:left w:val="single" w:color="auto" w:sz="4" w:space="0"/>
              <w:bottom w:val="single" w:color="auto" w:sz="4" w:space="0"/>
              <w:right w:val="single" w:color="auto" w:sz="4" w:space="0"/>
              <w:tl2br w:val="nil"/>
              <w:tr2bl w:val="nil"/>
            </w:tcBorders>
            <w:vAlign w:val="center"/>
          </w:tcPr>
          <w:p w14:paraId="70D1CF98">
            <w:pPr>
              <w:spacing w:line="320" w:lineRule="exact"/>
              <w:jc w:val="center"/>
              <w:rPr>
                <w:sz w:val="18"/>
                <w:szCs w:val="18"/>
              </w:rPr>
            </w:pPr>
            <w:r>
              <w:rPr>
                <w:rFonts w:eastAsia="华文仿宋"/>
                <w:sz w:val="18"/>
                <w:szCs w:val="18"/>
              </w:rPr>
              <w:t>&lt;</w:t>
            </w:r>
            <w:r>
              <w:rPr>
                <w:sz w:val="18"/>
                <w:szCs w:val="18"/>
              </w:rPr>
              <w:t>15</w:t>
            </w:r>
          </w:p>
        </w:tc>
        <w:tc>
          <w:tcPr>
            <w:tcW w:w="672" w:type="pct"/>
            <w:tcBorders>
              <w:top w:val="single" w:color="auto" w:sz="4" w:space="0"/>
              <w:left w:val="single" w:color="auto" w:sz="4" w:space="0"/>
              <w:bottom w:val="single" w:color="auto" w:sz="4" w:space="0"/>
              <w:right w:val="single" w:color="auto" w:sz="4" w:space="0"/>
              <w:tl2br w:val="nil"/>
              <w:tr2bl w:val="nil"/>
            </w:tcBorders>
            <w:vAlign w:val="center"/>
          </w:tcPr>
          <w:p w14:paraId="1CBCA39F">
            <w:pPr>
              <w:spacing w:line="320" w:lineRule="exact"/>
              <w:jc w:val="center"/>
              <w:rPr>
                <w:kern w:val="0"/>
                <w:sz w:val="18"/>
                <w:szCs w:val="18"/>
              </w:rPr>
            </w:pPr>
            <w:r>
              <w:rPr>
                <w:kern w:val="0"/>
                <w:sz w:val="18"/>
                <w:szCs w:val="18"/>
              </w:rPr>
              <w:t>4～</w:t>
            </w:r>
            <w:r>
              <w:rPr>
                <w:sz w:val="18"/>
                <w:szCs w:val="18"/>
              </w:rPr>
              <w:t>6</w:t>
            </w:r>
          </w:p>
        </w:tc>
        <w:tc>
          <w:tcPr>
            <w:tcW w:w="760" w:type="pct"/>
            <w:tcBorders>
              <w:top w:val="single" w:color="auto" w:sz="4" w:space="0"/>
              <w:left w:val="single" w:color="auto" w:sz="4" w:space="0"/>
              <w:bottom w:val="single" w:color="auto" w:sz="4" w:space="0"/>
              <w:right w:val="single" w:color="auto" w:sz="4" w:space="0"/>
              <w:tl2br w:val="nil"/>
              <w:tr2bl w:val="nil"/>
            </w:tcBorders>
            <w:vAlign w:val="center"/>
          </w:tcPr>
          <w:p w14:paraId="64F308F2">
            <w:pPr>
              <w:spacing w:line="320" w:lineRule="exact"/>
              <w:jc w:val="center"/>
              <w:rPr>
                <w:sz w:val="18"/>
                <w:szCs w:val="18"/>
              </w:rPr>
            </w:pPr>
            <w:r>
              <w:rPr>
                <w:rFonts w:eastAsia="华文仿宋"/>
                <w:sz w:val="18"/>
                <w:szCs w:val="18"/>
              </w:rPr>
              <w:t>&lt;</w:t>
            </w:r>
            <w:r>
              <w:rPr>
                <w:sz w:val="18"/>
                <w:szCs w:val="18"/>
              </w:rPr>
              <w:t>100</w:t>
            </w:r>
          </w:p>
        </w:tc>
        <w:tc>
          <w:tcPr>
            <w:tcW w:w="740" w:type="pct"/>
            <w:tcBorders>
              <w:top w:val="single" w:color="auto" w:sz="4" w:space="0"/>
              <w:left w:val="single" w:color="auto" w:sz="4" w:space="0"/>
              <w:bottom w:val="single" w:color="auto" w:sz="4" w:space="0"/>
              <w:right w:val="single" w:color="auto" w:sz="4" w:space="0"/>
              <w:tl2br w:val="nil"/>
              <w:tr2bl w:val="nil"/>
            </w:tcBorders>
            <w:vAlign w:val="center"/>
          </w:tcPr>
          <w:p w14:paraId="536076D2">
            <w:pPr>
              <w:spacing w:line="320" w:lineRule="exact"/>
              <w:jc w:val="center"/>
              <w:rPr>
                <w:sz w:val="18"/>
                <w:szCs w:val="18"/>
              </w:rPr>
            </w:pPr>
            <w:r>
              <w:rPr>
                <w:sz w:val="18"/>
                <w:szCs w:val="18"/>
              </w:rPr>
              <w:t>4</w:t>
            </w:r>
            <w:r>
              <w:rPr>
                <w:kern w:val="0"/>
                <w:sz w:val="18"/>
                <w:szCs w:val="18"/>
              </w:rPr>
              <w:t>～</w:t>
            </w:r>
            <w:r>
              <w:rPr>
                <w:sz w:val="18"/>
                <w:szCs w:val="18"/>
              </w:rPr>
              <w:t>5</w:t>
            </w:r>
          </w:p>
        </w:tc>
      </w:tr>
      <w:tr w14:paraId="29A43C1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jc w:val="center"/>
        </w:trPr>
        <w:tc>
          <w:tcPr>
            <w:tcW w:w="796" w:type="pct"/>
            <w:tcBorders>
              <w:top w:val="single" w:color="auto" w:sz="4" w:space="0"/>
              <w:left w:val="single" w:color="auto" w:sz="4" w:space="0"/>
              <w:bottom w:val="single" w:color="auto" w:sz="4" w:space="0"/>
              <w:right w:val="single" w:color="auto" w:sz="4" w:space="0"/>
              <w:tl2br w:val="nil"/>
              <w:tr2bl w:val="nil"/>
            </w:tcBorders>
            <w:vAlign w:val="center"/>
          </w:tcPr>
          <w:p w14:paraId="2090A666">
            <w:pPr>
              <w:spacing w:line="320" w:lineRule="exact"/>
              <w:jc w:val="center"/>
              <w:rPr>
                <w:sz w:val="18"/>
                <w:szCs w:val="18"/>
              </w:rPr>
            </w:pPr>
            <w:r>
              <w:rPr>
                <w:sz w:val="18"/>
                <w:szCs w:val="18"/>
              </w:rPr>
              <w:t>550~600</w:t>
            </w:r>
          </w:p>
        </w:tc>
        <w:tc>
          <w:tcPr>
            <w:tcW w:w="698" w:type="pct"/>
            <w:tcBorders>
              <w:top w:val="single" w:color="auto" w:sz="4" w:space="0"/>
              <w:left w:val="single" w:color="auto" w:sz="4" w:space="0"/>
              <w:bottom w:val="single" w:color="auto" w:sz="4" w:space="0"/>
              <w:right w:val="single" w:color="auto" w:sz="4" w:space="0"/>
              <w:tl2br w:val="nil"/>
              <w:tr2bl w:val="nil"/>
            </w:tcBorders>
            <w:vAlign w:val="center"/>
          </w:tcPr>
          <w:p w14:paraId="65694562">
            <w:pPr>
              <w:spacing w:line="320" w:lineRule="exact"/>
              <w:jc w:val="center"/>
              <w:rPr>
                <w:sz w:val="18"/>
                <w:szCs w:val="18"/>
              </w:rPr>
            </w:pPr>
            <w:r>
              <w:rPr>
                <w:sz w:val="18"/>
                <w:szCs w:val="18"/>
              </w:rPr>
              <w:t>13~16</w:t>
            </w:r>
          </w:p>
        </w:tc>
        <w:tc>
          <w:tcPr>
            <w:tcW w:w="568" w:type="pct"/>
            <w:vMerge w:val="continue"/>
            <w:tcBorders>
              <w:left w:val="single" w:color="auto" w:sz="4" w:space="0"/>
              <w:right w:val="single" w:color="auto" w:sz="4" w:space="0"/>
              <w:tl2br w:val="nil"/>
              <w:tr2bl w:val="nil"/>
            </w:tcBorders>
            <w:vAlign w:val="center"/>
          </w:tcPr>
          <w:p w14:paraId="12D5C54B">
            <w:pPr>
              <w:spacing w:line="320" w:lineRule="exact"/>
              <w:jc w:val="center"/>
              <w:rPr>
                <w:sz w:val="18"/>
                <w:szCs w:val="18"/>
              </w:rPr>
            </w:pPr>
          </w:p>
        </w:tc>
        <w:tc>
          <w:tcPr>
            <w:tcW w:w="762" w:type="pct"/>
            <w:tcBorders>
              <w:top w:val="single" w:color="auto" w:sz="4" w:space="0"/>
              <w:left w:val="single" w:color="auto" w:sz="4" w:space="0"/>
              <w:bottom w:val="single" w:color="auto" w:sz="4" w:space="0"/>
              <w:right w:val="single" w:color="auto" w:sz="4" w:space="0"/>
              <w:tl2br w:val="nil"/>
              <w:tr2bl w:val="nil"/>
            </w:tcBorders>
            <w:vAlign w:val="center"/>
          </w:tcPr>
          <w:p w14:paraId="03D8E447">
            <w:pPr>
              <w:spacing w:line="320" w:lineRule="exact"/>
              <w:jc w:val="center"/>
              <w:rPr>
                <w:sz w:val="18"/>
                <w:szCs w:val="18"/>
              </w:rPr>
            </w:pPr>
            <w:r>
              <w:rPr>
                <w:sz w:val="18"/>
                <w:szCs w:val="18"/>
              </w:rPr>
              <w:t>15~20</w:t>
            </w:r>
          </w:p>
        </w:tc>
        <w:tc>
          <w:tcPr>
            <w:tcW w:w="672" w:type="pct"/>
            <w:tcBorders>
              <w:top w:val="single" w:color="auto" w:sz="4" w:space="0"/>
              <w:left w:val="single" w:color="auto" w:sz="4" w:space="0"/>
              <w:bottom w:val="single" w:color="auto" w:sz="4" w:space="0"/>
              <w:right w:val="single" w:color="auto" w:sz="4" w:space="0"/>
              <w:tl2br w:val="nil"/>
              <w:tr2bl w:val="nil"/>
            </w:tcBorders>
            <w:vAlign w:val="center"/>
          </w:tcPr>
          <w:p w14:paraId="509003B7">
            <w:pPr>
              <w:spacing w:line="320" w:lineRule="exact"/>
              <w:jc w:val="center"/>
              <w:rPr>
                <w:kern w:val="0"/>
                <w:sz w:val="18"/>
                <w:szCs w:val="18"/>
              </w:rPr>
            </w:pPr>
            <w:r>
              <w:rPr>
                <w:kern w:val="0"/>
                <w:sz w:val="18"/>
                <w:szCs w:val="18"/>
              </w:rPr>
              <w:t>4～</w:t>
            </w:r>
            <w:r>
              <w:rPr>
                <w:sz w:val="18"/>
                <w:szCs w:val="18"/>
              </w:rPr>
              <w:t>6</w:t>
            </w:r>
          </w:p>
        </w:tc>
        <w:tc>
          <w:tcPr>
            <w:tcW w:w="760" w:type="pct"/>
            <w:tcBorders>
              <w:top w:val="single" w:color="auto" w:sz="4" w:space="0"/>
              <w:left w:val="single" w:color="auto" w:sz="4" w:space="0"/>
              <w:bottom w:val="single" w:color="auto" w:sz="4" w:space="0"/>
              <w:right w:val="single" w:color="auto" w:sz="4" w:space="0"/>
              <w:tl2br w:val="nil"/>
              <w:tr2bl w:val="nil"/>
            </w:tcBorders>
            <w:vAlign w:val="center"/>
          </w:tcPr>
          <w:p w14:paraId="2B232937">
            <w:pPr>
              <w:spacing w:line="320" w:lineRule="exact"/>
              <w:jc w:val="center"/>
              <w:rPr>
                <w:sz w:val="18"/>
                <w:szCs w:val="18"/>
              </w:rPr>
            </w:pPr>
            <w:r>
              <w:rPr>
                <w:sz w:val="18"/>
                <w:szCs w:val="18"/>
              </w:rPr>
              <w:t>100~115</w:t>
            </w:r>
          </w:p>
        </w:tc>
        <w:tc>
          <w:tcPr>
            <w:tcW w:w="740" w:type="pct"/>
            <w:tcBorders>
              <w:top w:val="single" w:color="auto" w:sz="4" w:space="0"/>
              <w:left w:val="single" w:color="auto" w:sz="4" w:space="0"/>
              <w:bottom w:val="single" w:color="auto" w:sz="4" w:space="0"/>
              <w:right w:val="single" w:color="auto" w:sz="4" w:space="0"/>
              <w:tl2br w:val="nil"/>
              <w:tr2bl w:val="nil"/>
            </w:tcBorders>
            <w:vAlign w:val="center"/>
          </w:tcPr>
          <w:p w14:paraId="096B6A54">
            <w:pPr>
              <w:spacing w:line="320" w:lineRule="exact"/>
              <w:jc w:val="center"/>
              <w:rPr>
                <w:sz w:val="18"/>
                <w:szCs w:val="18"/>
              </w:rPr>
            </w:pPr>
            <w:r>
              <w:rPr>
                <w:sz w:val="18"/>
                <w:szCs w:val="18"/>
              </w:rPr>
              <w:t>4</w:t>
            </w:r>
            <w:r>
              <w:rPr>
                <w:kern w:val="0"/>
                <w:sz w:val="18"/>
                <w:szCs w:val="18"/>
              </w:rPr>
              <w:t>～</w:t>
            </w:r>
            <w:r>
              <w:rPr>
                <w:sz w:val="18"/>
                <w:szCs w:val="18"/>
              </w:rPr>
              <w:t>5</w:t>
            </w:r>
          </w:p>
        </w:tc>
      </w:tr>
      <w:tr w14:paraId="5DCAC95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jc w:val="center"/>
        </w:trPr>
        <w:tc>
          <w:tcPr>
            <w:tcW w:w="796" w:type="pct"/>
            <w:tcBorders>
              <w:top w:val="single" w:color="auto" w:sz="4" w:space="0"/>
              <w:left w:val="single" w:color="auto" w:sz="4" w:space="0"/>
              <w:bottom w:val="single" w:color="auto" w:sz="4" w:space="0"/>
              <w:right w:val="single" w:color="auto" w:sz="4" w:space="0"/>
              <w:tl2br w:val="nil"/>
              <w:tr2bl w:val="nil"/>
            </w:tcBorders>
            <w:vAlign w:val="center"/>
          </w:tcPr>
          <w:p w14:paraId="6C792F12">
            <w:pPr>
              <w:spacing w:line="320" w:lineRule="exact"/>
              <w:jc w:val="center"/>
              <w:rPr>
                <w:sz w:val="18"/>
                <w:szCs w:val="18"/>
              </w:rPr>
            </w:pPr>
            <w:r>
              <w:rPr>
                <w:sz w:val="18"/>
                <w:szCs w:val="18"/>
              </w:rPr>
              <w:t>600~650</w:t>
            </w:r>
          </w:p>
        </w:tc>
        <w:tc>
          <w:tcPr>
            <w:tcW w:w="698" w:type="pct"/>
            <w:tcBorders>
              <w:top w:val="single" w:color="auto" w:sz="4" w:space="0"/>
              <w:left w:val="single" w:color="auto" w:sz="4" w:space="0"/>
              <w:bottom w:val="single" w:color="auto" w:sz="4" w:space="0"/>
              <w:right w:val="single" w:color="auto" w:sz="4" w:space="0"/>
              <w:tl2br w:val="nil"/>
              <w:tr2bl w:val="nil"/>
            </w:tcBorders>
            <w:vAlign w:val="center"/>
          </w:tcPr>
          <w:p w14:paraId="2AD784D5">
            <w:pPr>
              <w:spacing w:line="320" w:lineRule="exact"/>
              <w:jc w:val="center"/>
              <w:rPr>
                <w:sz w:val="18"/>
                <w:szCs w:val="18"/>
              </w:rPr>
            </w:pPr>
            <w:r>
              <w:rPr>
                <w:sz w:val="18"/>
                <w:szCs w:val="18"/>
              </w:rPr>
              <w:t>14</w:t>
            </w:r>
            <w:r>
              <w:rPr>
                <w:kern w:val="0"/>
                <w:sz w:val="18"/>
                <w:szCs w:val="18"/>
              </w:rPr>
              <w:t>～</w:t>
            </w:r>
            <w:r>
              <w:rPr>
                <w:sz w:val="18"/>
                <w:szCs w:val="18"/>
              </w:rPr>
              <w:t>17</w:t>
            </w:r>
          </w:p>
        </w:tc>
        <w:tc>
          <w:tcPr>
            <w:tcW w:w="568" w:type="pct"/>
            <w:vMerge w:val="continue"/>
            <w:tcBorders>
              <w:left w:val="single" w:color="auto" w:sz="4" w:space="0"/>
              <w:right w:val="single" w:color="auto" w:sz="4" w:space="0"/>
              <w:tl2br w:val="nil"/>
              <w:tr2bl w:val="nil"/>
            </w:tcBorders>
            <w:vAlign w:val="center"/>
          </w:tcPr>
          <w:p w14:paraId="5F33E77A">
            <w:pPr>
              <w:spacing w:line="320" w:lineRule="exact"/>
              <w:jc w:val="center"/>
              <w:rPr>
                <w:sz w:val="18"/>
                <w:szCs w:val="18"/>
              </w:rPr>
            </w:pPr>
          </w:p>
        </w:tc>
        <w:tc>
          <w:tcPr>
            <w:tcW w:w="762" w:type="pct"/>
            <w:tcBorders>
              <w:top w:val="single" w:color="auto" w:sz="4" w:space="0"/>
              <w:left w:val="single" w:color="auto" w:sz="4" w:space="0"/>
              <w:bottom w:val="single" w:color="auto" w:sz="4" w:space="0"/>
              <w:right w:val="single" w:color="auto" w:sz="4" w:space="0"/>
              <w:tl2br w:val="nil"/>
              <w:tr2bl w:val="nil"/>
            </w:tcBorders>
            <w:vAlign w:val="center"/>
          </w:tcPr>
          <w:p w14:paraId="55876A14">
            <w:pPr>
              <w:spacing w:line="320" w:lineRule="exact"/>
              <w:jc w:val="center"/>
              <w:rPr>
                <w:sz w:val="18"/>
                <w:szCs w:val="18"/>
              </w:rPr>
            </w:pPr>
            <w:r>
              <w:rPr>
                <w:sz w:val="18"/>
                <w:szCs w:val="18"/>
              </w:rPr>
              <w:t>20~25</w:t>
            </w:r>
          </w:p>
        </w:tc>
        <w:tc>
          <w:tcPr>
            <w:tcW w:w="672" w:type="pct"/>
            <w:tcBorders>
              <w:top w:val="single" w:color="auto" w:sz="4" w:space="0"/>
              <w:left w:val="single" w:color="auto" w:sz="4" w:space="0"/>
              <w:bottom w:val="single" w:color="auto" w:sz="4" w:space="0"/>
              <w:right w:val="single" w:color="auto" w:sz="4" w:space="0"/>
              <w:tl2br w:val="nil"/>
              <w:tr2bl w:val="nil"/>
            </w:tcBorders>
            <w:vAlign w:val="center"/>
          </w:tcPr>
          <w:p w14:paraId="07F90AE6">
            <w:pPr>
              <w:spacing w:line="320" w:lineRule="exact"/>
              <w:jc w:val="center"/>
              <w:rPr>
                <w:sz w:val="18"/>
                <w:szCs w:val="18"/>
              </w:rPr>
            </w:pPr>
            <w:r>
              <w:rPr>
                <w:kern w:val="0"/>
                <w:sz w:val="18"/>
                <w:szCs w:val="18"/>
              </w:rPr>
              <w:t>5～</w:t>
            </w:r>
            <w:r>
              <w:rPr>
                <w:sz w:val="18"/>
                <w:szCs w:val="18"/>
              </w:rPr>
              <w:t>6</w:t>
            </w:r>
          </w:p>
        </w:tc>
        <w:tc>
          <w:tcPr>
            <w:tcW w:w="760" w:type="pct"/>
            <w:tcBorders>
              <w:top w:val="single" w:color="auto" w:sz="4" w:space="0"/>
              <w:left w:val="single" w:color="auto" w:sz="4" w:space="0"/>
              <w:bottom w:val="single" w:color="auto" w:sz="4" w:space="0"/>
              <w:right w:val="single" w:color="auto" w:sz="4" w:space="0"/>
              <w:tl2br w:val="nil"/>
              <w:tr2bl w:val="nil"/>
            </w:tcBorders>
            <w:vAlign w:val="center"/>
          </w:tcPr>
          <w:p w14:paraId="40E8E959">
            <w:pPr>
              <w:spacing w:line="320" w:lineRule="exact"/>
              <w:jc w:val="center"/>
              <w:rPr>
                <w:sz w:val="18"/>
                <w:szCs w:val="18"/>
              </w:rPr>
            </w:pPr>
            <w:r>
              <w:rPr>
                <w:sz w:val="18"/>
                <w:szCs w:val="18"/>
              </w:rPr>
              <w:t>115~130</w:t>
            </w:r>
          </w:p>
        </w:tc>
        <w:tc>
          <w:tcPr>
            <w:tcW w:w="740" w:type="pct"/>
            <w:tcBorders>
              <w:top w:val="single" w:color="auto" w:sz="4" w:space="0"/>
              <w:left w:val="single" w:color="auto" w:sz="4" w:space="0"/>
              <w:bottom w:val="single" w:color="auto" w:sz="4" w:space="0"/>
              <w:right w:val="single" w:color="auto" w:sz="4" w:space="0"/>
              <w:tl2br w:val="nil"/>
              <w:tr2bl w:val="nil"/>
            </w:tcBorders>
            <w:vAlign w:val="center"/>
          </w:tcPr>
          <w:p w14:paraId="7AE24354">
            <w:pPr>
              <w:spacing w:line="320" w:lineRule="exact"/>
              <w:jc w:val="center"/>
              <w:rPr>
                <w:sz w:val="18"/>
                <w:szCs w:val="18"/>
              </w:rPr>
            </w:pPr>
            <w:r>
              <w:rPr>
                <w:sz w:val="18"/>
                <w:szCs w:val="18"/>
              </w:rPr>
              <w:t>5</w:t>
            </w:r>
            <w:r>
              <w:rPr>
                <w:kern w:val="0"/>
                <w:sz w:val="18"/>
                <w:szCs w:val="18"/>
              </w:rPr>
              <w:t>～</w:t>
            </w:r>
            <w:r>
              <w:rPr>
                <w:sz w:val="18"/>
                <w:szCs w:val="18"/>
              </w:rPr>
              <w:t>6</w:t>
            </w:r>
          </w:p>
        </w:tc>
      </w:tr>
      <w:tr w14:paraId="0B5E4DC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jc w:val="center"/>
        </w:trPr>
        <w:tc>
          <w:tcPr>
            <w:tcW w:w="796" w:type="pct"/>
            <w:tcBorders>
              <w:top w:val="single" w:color="auto" w:sz="4" w:space="0"/>
              <w:left w:val="single" w:color="auto" w:sz="4" w:space="0"/>
              <w:bottom w:val="single" w:color="auto" w:sz="4" w:space="0"/>
              <w:right w:val="single" w:color="auto" w:sz="4" w:space="0"/>
              <w:tl2br w:val="nil"/>
              <w:tr2bl w:val="nil"/>
            </w:tcBorders>
            <w:vAlign w:val="center"/>
          </w:tcPr>
          <w:p w14:paraId="7928F777">
            <w:pPr>
              <w:spacing w:line="320" w:lineRule="exact"/>
              <w:jc w:val="center"/>
              <w:rPr>
                <w:sz w:val="18"/>
                <w:szCs w:val="18"/>
              </w:rPr>
            </w:pPr>
            <w:r>
              <w:rPr>
                <w:sz w:val="18"/>
                <w:szCs w:val="18"/>
              </w:rPr>
              <w:t>&gt;650</w:t>
            </w:r>
          </w:p>
        </w:tc>
        <w:tc>
          <w:tcPr>
            <w:tcW w:w="698" w:type="pct"/>
            <w:tcBorders>
              <w:top w:val="single" w:color="auto" w:sz="4" w:space="0"/>
              <w:left w:val="single" w:color="auto" w:sz="4" w:space="0"/>
              <w:bottom w:val="single" w:color="auto" w:sz="4" w:space="0"/>
              <w:right w:val="single" w:color="auto" w:sz="4" w:space="0"/>
              <w:tl2br w:val="nil"/>
              <w:tr2bl w:val="nil"/>
            </w:tcBorders>
            <w:vAlign w:val="center"/>
          </w:tcPr>
          <w:p w14:paraId="4D0415A5">
            <w:pPr>
              <w:spacing w:line="320" w:lineRule="exact"/>
              <w:jc w:val="center"/>
              <w:rPr>
                <w:sz w:val="18"/>
                <w:szCs w:val="18"/>
              </w:rPr>
            </w:pPr>
            <w:r>
              <w:rPr>
                <w:sz w:val="18"/>
                <w:szCs w:val="18"/>
              </w:rPr>
              <w:t>16</w:t>
            </w:r>
            <w:r>
              <w:rPr>
                <w:kern w:val="0"/>
                <w:sz w:val="18"/>
                <w:szCs w:val="18"/>
              </w:rPr>
              <w:t>～</w:t>
            </w:r>
            <w:r>
              <w:rPr>
                <w:sz w:val="18"/>
                <w:szCs w:val="18"/>
              </w:rPr>
              <w:t>18</w:t>
            </w:r>
          </w:p>
        </w:tc>
        <w:tc>
          <w:tcPr>
            <w:tcW w:w="568" w:type="pct"/>
            <w:vMerge w:val="continue"/>
            <w:tcBorders>
              <w:left w:val="single" w:color="auto" w:sz="4" w:space="0"/>
              <w:bottom w:val="single" w:color="auto" w:sz="4" w:space="0"/>
              <w:right w:val="single" w:color="auto" w:sz="4" w:space="0"/>
              <w:tl2br w:val="nil"/>
              <w:tr2bl w:val="nil"/>
            </w:tcBorders>
            <w:vAlign w:val="center"/>
          </w:tcPr>
          <w:p w14:paraId="4D618120">
            <w:pPr>
              <w:spacing w:line="320" w:lineRule="exact"/>
              <w:jc w:val="center"/>
              <w:rPr>
                <w:sz w:val="18"/>
                <w:szCs w:val="18"/>
              </w:rPr>
            </w:pPr>
          </w:p>
        </w:tc>
        <w:tc>
          <w:tcPr>
            <w:tcW w:w="762" w:type="pct"/>
            <w:tcBorders>
              <w:top w:val="single" w:color="auto" w:sz="4" w:space="0"/>
              <w:left w:val="single" w:color="auto" w:sz="4" w:space="0"/>
              <w:bottom w:val="single" w:color="auto" w:sz="4" w:space="0"/>
              <w:right w:val="single" w:color="auto" w:sz="4" w:space="0"/>
              <w:tl2br w:val="nil"/>
              <w:tr2bl w:val="nil"/>
            </w:tcBorders>
            <w:vAlign w:val="center"/>
          </w:tcPr>
          <w:p w14:paraId="2776CDCD">
            <w:pPr>
              <w:spacing w:line="320" w:lineRule="exact"/>
              <w:jc w:val="center"/>
              <w:rPr>
                <w:sz w:val="18"/>
                <w:szCs w:val="18"/>
              </w:rPr>
            </w:pPr>
            <w:r>
              <w:rPr>
                <w:rFonts w:eastAsia="东文宋体"/>
                <w:sz w:val="18"/>
                <w:szCs w:val="18"/>
              </w:rPr>
              <w:t>≥</w:t>
            </w:r>
            <w:r>
              <w:rPr>
                <w:sz w:val="18"/>
                <w:szCs w:val="18"/>
              </w:rPr>
              <w:t>25</w:t>
            </w:r>
          </w:p>
        </w:tc>
        <w:tc>
          <w:tcPr>
            <w:tcW w:w="672" w:type="pct"/>
            <w:tcBorders>
              <w:top w:val="single" w:color="auto" w:sz="4" w:space="0"/>
              <w:left w:val="single" w:color="auto" w:sz="4" w:space="0"/>
              <w:bottom w:val="single" w:color="auto" w:sz="4" w:space="0"/>
              <w:right w:val="single" w:color="auto" w:sz="4" w:space="0"/>
              <w:tl2br w:val="nil"/>
              <w:tr2bl w:val="nil"/>
            </w:tcBorders>
            <w:vAlign w:val="center"/>
          </w:tcPr>
          <w:p w14:paraId="50CFCEB9">
            <w:pPr>
              <w:spacing w:line="320" w:lineRule="exact"/>
              <w:jc w:val="center"/>
              <w:rPr>
                <w:sz w:val="18"/>
                <w:szCs w:val="18"/>
              </w:rPr>
            </w:pPr>
            <w:r>
              <w:rPr>
                <w:sz w:val="18"/>
                <w:szCs w:val="18"/>
              </w:rPr>
              <w:t>5</w:t>
            </w:r>
            <w:r>
              <w:rPr>
                <w:kern w:val="0"/>
                <w:sz w:val="18"/>
                <w:szCs w:val="18"/>
              </w:rPr>
              <w:t>～</w:t>
            </w:r>
            <w:r>
              <w:rPr>
                <w:sz w:val="18"/>
                <w:szCs w:val="18"/>
              </w:rPr>
              <w:t>7</w:t>
            </w:r>
          </w:p>
        </w:tc>
        <w:tc>
          <w:tcPr>
            <w:tcW w:w="760" w:type="pct"/>
            <w:tcBorders>
              <w:top w:val="single" w:color="auto" w:sz="4" w:space="0"/>
              <w:left w:val="single" w:color="auto" w:sz="4" w:space="0"/>
              <w:bottom w:val="single" w:color="auto" w:sz="4" w:space="0"/>
              <w:right w:val="single" w:color="auto" w:sz="4" w:space="0"/>
              <w:tl2br w:val="nil"/>
              <w:tr2bl w:val="nil"/>
            </w:tcBorders>
            <w:vAlign w:val="center"/>
          </w:tcPr>
          <w:p w14:paraId="7DFDCC1A">
            <w:pPr>
              <w:spacing w:line="320" w:lineRule="exact"/>
              <w:jc w:val="center"/>
              <w:rPr>
                <w:sz w:val="18"/>
                <w:szCs w:val="18"/>
              </w:rPr>
            </w:pPr>
            <w:r>
              <w:rPr>
                <w:sz w:val="18"/>
                <w:szCs w:val="18"/>
              </w:rPr>
              <w:t>&gt;130</w:t>
            </w:r>
          </w:p>
        </w:tc>
        <w:tc>
          <w:tcPr>
            <w:tcW w:w="740" w:type="pct"/>
            <w:tcBorders>
              <w:top w:val="single" w:color="auto" w:sz="4" w:space="0"/>
              <w:left w:val="single" w:color="auto" w:sz="4" w:space="0"/>
              <w:bottom w:val="single" w:color="auto" w:sz="4" w:space="0"/>
              <w:right w:val="single" w:color="auto" w:sz="4" w:space="0"/>
              <w:tl2br w:val="nil"/>
              <w:tr2bl w:val="nil"/>
            </w:tcBorders>
            <w:vAlign w:val="center"/>
          </w:tcPr>
          <w:p w14:paraId="27C21FB0">
            <w:pPr>
              <w:spacing w:line="320" w:lineRule="exact"/>
              <w:jc w:val="center"/>
              <w:rPr>
                <w:sz w:val="18"/>
                <w:szCs w:val="18"/>
              </w:rPr>
            </w:pPr>
            <w:r>
              <w:rPr>
                <w:sz w:val="18"/>
                <w:szCs w:val="18"/>
              </w:rPr>
              <w:t>5</w:t>
            </w:r>
            <w:r>
              <w:rPr>
                <w:kern w:val="0"/>
                <w:sz w:val="18"/>
                <w:szCs w:val="18"/>
              </w:rPr>
              <w:t>～</w:t>
            </w:r>
            <w:r>
              <w:rPr>
                <w:sz w:val="18"/>
                <w:szCs w:val="18"/>
              </w:rPr>
              <w:t>7</w:t>
            </w:r>
          </w:p>
        </w:tc>
      </w:tr>
    </w:tbl>
    <w:p w14:paraId="54B4FEB9">
      <w:pPr>
        <w:pStyle w:val="108"/>
        <w:numPr>
          <w:ilvl w:val="0"/>
          <w:numId w:val="0"/>
        </w:numPr>
        <w:tabs>
          <w:tab w:val="left" w:pos="210"/>
        </w:tabs>
        <w:spacing w:before="156" w:beforeLines="50" w:after="156" w:afterLines="50"/>
        <w:ind w:left="403"/>
      </w:pPr>
      <w:r>
        <w:rPr>
          <w:rFonts w:hint="eastAsia" w:ascii="Times New Roman"/>
          <w:bCs/>
          <w:kern w:val="44"/>
        </w:rPr>
        <w:t>表</w:t>
      </w:r>
      <w:r>
        <w:rPr>
          <w:rFonts w:hint="eastAsia" w:ascii="Times New Roman"/>
          <w:bCs/>
          <w:kern w:val="44"/>
          <w:lang w:val="en-US" w:eastAsia="zh-CN"/>
        </w:rPr>
        <w:t>A</w:t>
      </w:r>
      <w:r>
        <w:rPr>
          <w:rFonts w:hint="eastAsia" w:ascii="Times New Roman"/>
          <w:bCs/>
          <w:kern w:val="44"/>
        </w:rPr>
        <w:t xml:space="preserve">.2  夏玉米施肥量推荐表   </w:t>
      </w:r>
      <w:r>
        <w:rPr>
          <w:rFonts w:hint="eastAsia"/>
          <w:bCs/>
          <w:color w:val="000000"/>
          <w:szCs w:val="21"/>
        </w:rPr>
        <w:t xml:space="preserve">   </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6"/>
        <w:gridCol w:w="1346"/>
        <w:gridCol w:w="1118"/>
        <w:gridCol w:w="1502"/>
        <w:gridCol w:w="1305"/>
        <w:gridCol w:w="1487"/>
        <w:gridCol w:w="1466"/>
      </w:tblGrid>
      <w:tr w14:paraId="71BD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5000" w:type="pct"/>
            <w:gridSpan w:val="7"/>
          </w:tcPr>
          <w:p w14:paraId="7A6F0523">
            <w:pPr>
              <w:jc w:val="center"/>
              <w:rPr>
                <w:sz w:val="18"/>
                <w:szCs w:val="18"/>
              </w:rPr>
            </w:pPr>
            <w:r>
              <w:rPr>
                <w:color w:val="000000"/>
                <w:sz w:val="18"/>
                <w:szCs w:val="18"/>
              </w:rPr>
              <w:t>测土配方施肥技术指标</w:t>
            </w:r>
          </w:p>
        </w:tc>
      </w:tr>
      <w:tr w14:paraId="308B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1990" w:type="pct"/>
            <w:gridSpan w:val="3"/>
            <w:vAlign w:val="center"/>
          </w:tcPr>
          <w:p w14:paraId="252EE522">
            <w:pPr>
              <w:widowControl/>
              <w:jc w:val="center"/>
              <w:rPr>
                <w:color w:val="000000"/>
                <w:sz w:val="18"/>
                <w:szCs w:val="18"/>
              </w:rPr>
            </w:pPr>
            <w:r>
              <w:rPr>
                <w:color w:val="000000"/>
                <w:sz w:val="18"/>
                <w:szCs w:val="18"/>
              </w:rPr>
              <w:t>氮（N）</w:t>
            </w:r>
          </w:p>
        </w:tc>
        <w:tc>
          <w:tcPr>
            <w:tcW w:w="1467" w:type="pct"/>
            <w:gridSpan w:val="2"/>
            <w:vAlign w:val="center"/>
          </w:tcPr>
          <w:p w14:paraId="1806DC61">
            <w:pPr>
              <w:widowControl/>
              <w:jc w:val="center"/>
              <w:rPr>
                <w:color w:val="000000"/>
                <w:sz w:val="18"/>
                <w:szCs w:val="18"/>
              </w:rPr>
            </w:pPr>
            <w:r>
              <w:rPr>
                <w:color w:val="000000"/>
                <w:sz w:val="18"/>
                <w:szCs w:val="18"/>
              </w:rPr>
              <w:t>磷（P</w:t>
            </w:r>
            <w:r>
              <w:rPr>
                <w:color w:val="000000"/>
                <w:sz w:val="18"/>
                <w:szCs w:val="18"/>
                <w:vertAlign w:val="subscript"/>
              </w:rPr>
              <w:t>2</w:t>
            </w:r>
            <w:r>
              <w:rPr>
                <w:color w:val="000000"/>
                <w:sz w:val="18"/>
                <w:szCs w:val="18"/>
              </w:rPr>
              <w:t>O</w:t>
            </w:r>
            <w:r>
              <w:rPr>
                <w:color w:val="000000"/>
                <w:sz w:val="18"/>
                <w:szCs w:val="18"/>
                <w:vertAlign w:val="subscript"/>
              </w:rPr>
              <w:t>5</w:t>
            </w:r>
            <w:r>
              <w:rPr>
                <w:color w:val="000000"/>
                <w:sz w:val="18"/>
                <w:szCs w:val="18"/>
              </w:rPr>
              <w:t>）</w:t>
            </w:r>
          </w:p>
        </w:tc>
        <w:tc>
          <w:tcPr>
            <w:tcW w:w="1541" w:type="pct"/>
            <w:gridSpan w:val="2"/>
            <w:vAlign w:val="center"/>
          </w:tcPr>
          <w:p w14:paraId="3AA079A7">
            <w:pPr>
              <w:widowControl/>
              <w:jc w:val="center"/>
              <w:rPr>
                <w:color w:val="000000"/>
                <w:sz w:val="18"/>
                <w:szCs w:val="18"/>
              </w:rPr>
            </w:pPr>
            <w:r>
              <w:rPr>
                <w:color w:val="000000"/>
                <w:sz w:val="18"/>
                <w:szCs w:val="18"/>
              </w:rPr>
              <w:t>钾（K</w:t>
            </w:r>
            <w:r>
              <w:rPr>
                <w:color w:val="000000"/>
                <w:sz w:val="18"/>
                <w:szCs w:val="18"/>
                <w:vertAlign w:val="subscript"/>
              </w:rPr>
              <w:t>2</w:t>
            </w:r>
            <w:r>
              <w:rPr>
                <w:color w:val="000000"/>
                <w:sz w:val="18"/>
                <w:szCs w:val="18"/>
              </w:rPr>
              <w:t>O）</w:t>
            </w:r>
          </w:p>
        </w:tc>
      </w:tr>
      <w:tr w14:paraId="69EA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exact"/>
        </w:trPr>
        <w:tc>
          <w:tcPr>
            <w:tcW w:w="703" w:type="pct"/>
            <w:vAlign w:val="center"/>
          </w:tcPr>
          <w:p w14:paraId="7BDEA5D7">
            <w:pPr>
              <w:widowControl/>
              <w:jc w:val="center"/>
              <w:rPr>
                <w:sz w:val="18"/>
                <w:szCs w:val="18"/>
              </w:rPr>
            </w:pPr>
            <w:r>
              <w:rPr>
                <w:rFonts w:hint="eastAsia"/>
                <w:sz w:val="18"/>
                <w:szCs w:val="18"/>
                <w:lang w:val="en-US" w:eastAsia="zh-CN"/>
              </w:rPr>
              <w:t>目标</w:t>
            </w:r>
            <w:r>
              <w:rPr>
                <w:sz w:val="18"/>
                <w:szCs w:val="18"/>
              </w:rPr>
              <w:t>产量</w:t>
            </w:r>
          </w:p>
          <w:p w14:paraId="3C741253">
            <w:pPr>
              <w:widowControl/>
              <w:jc w:val="center"/>
              <w:rPr>
                <w:sz w:val="18"/>
                <w:szCs w:val="18"/>
              </w:rPr>
            </w:pPr>
            <w:r>
              <w:rPr>
                <w:sz w:val="18"/>
                <w:szCs w:val="18"/>
              </w:rPr>
              <w:t>（kg/亩）</w:t>
            </w:r>
          </w:p>
        </w:tc>
        <w:tc>
          <w:tcPr>
            <w:tcW w:w="703" w:type="pct"/>
            <w:vAlign w:val="center"/>
          </w:tcPr>
          <w:p w14:paraId="310AA325">
            <w:pPr>
              <w:widowControl/>
              <w:jc w:val="center"/>
              <w:rPr>
                <w:sz w:val="18"/>
                <w:szCs w:val="18"/>
              </w:rPr>
            </w:pPr>
            <w:r>
              <w:rPr>
                <w:sz w:val="18"/>
                <w:szCs w:val="18"/>
              </w:rPr>
              <w:t>施肥量</w:t>
            </w:r>
          </w:p>
          <w:p w14:paraId="6E2BBB62">
            <w:pPr>
              <w:widowControl/>
              <w:jc w:val="center"/>
              <w:rPr>
                <w:sz w:val="18"/>
                <w:szCs w:val="18"/>
              </w:rPr>
            </w:pPr>
            <w:r>
              <w:rPr>
                <w:sz w:val="18"/>
                <w:szCs w:val="18"/>
              </w:rPr>
              <w:t>（kg/亩）</w:t>
            </w:r>
          </w:p>
        </w:tc>
        <w:tc>
          <w:tcPr>
            <w:tcW w:w="583" w:type="pct"/>
            <w:vAlign w:val="center"/>
          </w:tcPr>
          <w:p w14:paraId="360D515B">
            <w:pPr>
              <w:widowControl/>
              <w:jc w:val="center"/>
              <w:rPr>
                <w:sz w:val="18"/>
                <w:szCs w:val="18"/>
              </w:rPr>
            </w:pPr>
            <w:r>
              <w:rPr>
                <w:rFonts w:hint="eastAsia"/>
                <w:sz w:val="18"/>
                <w:szCs w:val="18"/>
              </w:rPr>
              <w:t>基</w:t>
            </w:r>
            <w:r>
              <w:rPr>
                <w:sz w:val="18"/>
                <w:szCs w:val="18"/>
              </w:rPr>
              <w:t>追比</w:t>
            </w:r>
          </w:p>
        </w:tc>
        <w:tc>
          <w:tcPr>
            <w:tcW w:w="785" w:type="pct"/>
            <w:vAlign w:val="center"/>
          </w:tcPr>
          <w:p w14:paraId="2A825F4D">
            <w:pPr>
              <w:spacing w:line="320" w:lineRule="exact"/>
              <w:jc w:val="center"/>
              <w:rPr>
                <w:sz w:val="18"/>
                <w:szCs w:val="18"/>
              </w:rPr>
            </w:pPr>
            <w:r>
              <w:rPr>
                <w:rFonts w:hint="eastAsia"/>
                <w:sz w:val="18"/>
                <w:szCs w:val="18"/>
              </w:rPr>
              <w:t>土壤有效磷</w:t>
            </w:r>
            <w:r>
              <w:rPr>
                <w:sz w:val="18"/>
                <w:szCs w:val="18"/>
              </w:rPr>
              <w:t>（P</w:t>
            </w:r>
            <w:r>
              <w:rPr>
                <w:rFonts w:hint="eastAsia"/>
                <w:sz w:val="18"/>
                <w:szCs w:val="18"/>
              </w:rPr>
              <w:t>，</w:t>
            </w:r>
            <w:r>
              <w:rPr>
                <w:sz w:val="18"/>
                <w:szCs w:val="18"/>
              </w:rPr>
              <w:t>mg/kg)</w:t>
            </w:r>
          </w:p>
        </w:tc>
        <w:tc>
          <w:tcPr>
            <w:tcW w:w="681" w:type="pct"/>
            <w:vAlign w:val="center"/>
          </w:tcPr>
          <w:p w14:paraId="7914F6FD">
            <w:pPr>
              <w:spacing w:line="320" w:lineRule="exact"/>
              <w:jc w:val="center"/>
              <w:rPr>
                <w:sz w:val="18"/>
                <w:szCs w:val="18"/>
              </w:rPr>
            </w:pPr>
            <w:r>
              <w:rPr>
                <w:sz w:val="18"/>
                <w:szCs w:val="18"/>
              </w:rPr>
              <w:t>施肥量</w:t>
            </w:r>
          </w:p>
          <w:p w14:paraId="6D36589E">
            <w:pPr>
              <w:spacing w:line="320" w:lineRule="exact"/>
              <w:jc w:val="center"/>
              <w:rPr>
                <w:sz w:val="18"/>
                <w:szCs w:val="18"/>
              </w:rPr>
            </w:pPr>
            <w:r>
              <w:rPr>
                <w:sz w:val="18"/>
                <w:szCs w:val="18"/>
              </w:rPr>
              <w:t>（P</w:t>
            </w:r>
            <w:r>
              <w:rPr>
                <w:sz w:val="18"/>
                <w:szCs w:val="18"/>
                <w:vertAlign w:val="subscript"/>
              </w:rPr>
              <w:t>2</w:t>
            </w:r>
            <w:r>
              <w:rPr>
                <w:sz w:val="18"/>
                <w:szCs w:val="18"/>
              </w:rPr>
              <w:t>O</w:t>
            </w:r>
            <w:r>
              <w:rPr>
                <w:sz w:val="18"/>
                <w:szCs w:val="18"/>
                <w:vertAlign w:val="subscript"/>
              </w:rPr>
              <w:t>5</w:t>
            </w:r>
            <w:r>
              <w:rPr>
                <w:rFonts w:hint="eastAsia"/>
                <w:sz w:val="18"/>
                <w:szCs w:val="18"/>
              </w:rPr>
              <w:t>，</w:t>
            </w:r>
          </w:p>
          <w:p w14:paraId="6675A097">
            <w:pPr>
              <w:spacing w:line="320" w:lineRule="exact"/>
              <w:jc w:val="center"/>
              <w:rPr>
                <w:sz w:val="18"/>
                <w:szCs w:val="18"/>
              </w:rPr>
            </w:pPr>
            <w:r>
              <w:rPr>
                <w:sz w:val="18"/>
                <w:szCs w:val="18"/>
              </w:rPr>
              <w:t>kg/亩）</w:t>
            </w:r>
          </w:p>
        </w:tc>
        <w:tc>
          <w:tcPr>
            <w:tcW w:w="777" w:type="pct"/>
            <w:vAlign w:val="center"/>
          </w:tcPr>
          <w:p w14:paraId="13A2C496">
            <w:pPr>
              <w:spacing w:line="320" w:lineRule="exact"/>
              <w:jc w:val="center"/>
              <w:rPr>
                <w:sz w:val="18"/>
                <w:szCs w:val="18"/>
              </w:rPr>
            </w:pPr>
            <w:r>
              <w:rPr>
                <w:rFonts w:hint="eastAsia"/>
                <w:sz w:val="18"/>
                <w:szCs w:val="18"/>
              </w:rPr>
              <w:t>土壤速效钾</w:t>
            </w:r>
            <w:r>
              <w:rPr>
                <w:sz w:val="18"/>
                <w:szCs w:val="18"/>
              </w:rPr>
              <w:t>(K</w:t>
            </w:r>
            <w:r>
              <w:rPr>
                <w:rFonts w:hint="eastAsia"/>
                <w:sz w:val="18"/>
                <w:szCs w:val="18"/>
              </w:rPr>
              <w:t>，</w:t>
            </w:r>
            <w:r>
              <w:rPr>
                <w:sz w:val="18"/>
                <w:szCs w:val="18"/>
              </w:rPr>
              <w:t>mg/kg)</w:t>
            </w:r>
          </w:p>
        </w:tc>
        <w:tc>
          <w:tcPr>
            <w:tcW w:w="764" w:type="pct"/>
            <w:vAlign w:val="center"/>
          </w:tcPr>
          <w:p w14:paraId="45B59EC5">
            <w:pPr>
              <w:spacing w:line="320" w:lineRule="exact"/>
              <w:jc w:val="center"/>
              <w:rPr>
                <w:sz w:val="18"/>
                <w:szCs w:val="18"/>
              </w:rPr>
            </w:pPr>
            <w:r>
              <w:rPr>
                <w:sz w:val="18"/>
                <w:szCs w:val="18"/>
              </w:rPr>
              <w:t>施肥量</w:t>
            </w:r>
          </w:p>
          <w:p w14:paraId="14CF0E07">
            <w:pPr>
              <w:spacing w:line="320" w:lineRule="exact"/>
              <w:jc w:val="center"/>
              <w:rPr>
                <w:sz w:val="18"/>
                <w:szCs w:val="18"/>
              </w:rPr>
            </w:pPr>
            <w:r>
              <w:rPr>
                <w:sz w:val="18"/>
                <w:szCs w:val="18"/>
              </w:rPr>
              <w:t>（K</w:t>
            </w:r>
            <w:r>
              <w:rPr>
                <w:sz w:val="18"/>
                <w:szCs w:val="18"/>
                <w:vertAlign w:val="subscript"/>
              </w:rPr>
              <w:t>2</w:t>
            </w:r>
            <w:r>
              <w:rPr>
                <w:sz w:val="18"/>
                <w:szCs w:val="18"/>
              </w:rPr>
              <w:t>O</w:t>
            </w:r>
            <w:r>
              <w:rPr>
                <w:rFonts w:hint="eastAsia"/>
                <w:sz w:val="18"/>
                <w:szCs w:val="18"/>
              </w:rPr>
              <w:t>，</w:t>
            </w:r>
          </w:p>
          <w:p w14:paraId="48A31F1E">
            <w:pPr>
              <w:spacing w:line="320" w:lineRule="exact"/>
              <w:jc w:val="center"/>
              <w:rPr>
                <w:sz w:val="18"/>
                <w:szCs w:val="18"/>
              </w:rPr>
            </w:pPr>
            <w:r>
              <w:rPr>
                <w:sz w:val="18"/>
                <w:szCs w:val="18"/>
              </w:rPr>
              <w:t xml:space="preserve"> kg/亩）</w:t>
            </w:r>
          </w:p>
        </w:tc>
      </w:tr>
      <w:tr w14:paraId="269D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03" w:type="pct"/>
            <w:vAlign w:val="center"/>
          </w:tcPr>
          <w:p w14:paraId="69D1D426">
            <w:pPr>
              <w:widowControl/>
              <w:jc w:val="center"/>
              <w:rPr>
                <w:sz w:val="18"/>
                <w:szCs w:val="18"/>
              </w:rPr>
            </w:pPr>
            <w:r>
              <w:rPr>
                <w:rFonts w:eastAsia="微软雅黑"/>
                <w:sz w:val="18"/>
                <w:szCs w:val="18"/>
              </w:rPr>
              <w:t>&lt;</w:t>
            </w:r>
            <w:r>
              <w:rPr>
                <w:sz w:val="18"/>
                <w:szCs w:val="18"/>
              </w:rPr>
              <w:t>600</w:t>
            </w:r>
          </w:p>
        </w:tc>
        <w:tc>
          <w:tcPr>
            <w:tcW w:w="703" w:type="pct"/>
            <w:vAlign w:val="center"/>
          </w:tcPr>
          <w:p w14:paraId="522C96C2">
            <w:pPr>
              <w:widowControl/>
              <w:jc w:val="center"/>
              <w:rPr>
                <w:sz w:val="18"/>
                <w:szCs w:val="18"/>
              </w:rPr>
            </w:pPr>
            <w:r>
              <w:rPr>
                <w:sz w:val="18"/>
                <w:szCs w:val="18"/>
              </w:rPr>
              <w:t>10</w:t>
            </w:r>
            <w:r>
              <w:rPr>
                <w:kern w:val="0"/>
                <w:sz w:val="18"/>
                <w:szCs w:val="18"/>
              </w:rPr>
              <w:t>～</w:t>
            </w:r>
            <w:r>
              <w:rPr>
                <w:sz w:val="18"/>
                <w:szCs w:val="18"/>
              </w:rPr>
              <w:t>14</w:t>
            </w:r>
          </w:p>
        </w:tc>
        <w:tc>
          <w:tcPr>
            <w:tcW w:w="583" w:type="pct"/>
            <w:vMerge w:val="restart"/>
            <w:vAlign w:val="center"/>
          </w:tcPr>
          <w:p w14:paraId="2F074A67">
            <w:pPr>
              <w:jc w:val="center"/>
              <w:rPr>
                <w:sz w:val="18"/>
                <w:szCs w:val="18"/>
              </w:rPr>
            </w:pPr>
            <w:r>
              <w:rPr>
                <w:rFonts w:hint="eastAsia"/>
                <w:sz w:val="18"/>
                <w:szCs w:val="18"/>
                <w:lang w:val="en-US" w:eastAsia="zh-CN"/>
              </w:rPr>
              <w:t>3</w:t>
            </w:r>
            <w:r>
              <w:rPr>
                <w:sz w:val="18"/>
                <w:szCs w:val="18"/>
              </w:rPr>
              <w:t>:</w:t>
            </w:r>
            <w:r>
              <w:rPr>
                <w:rFonts w:hint="eastAsia"/>
                <w:sz w:val="18"/>
                <w:szCs w:val="18"/>
                <w:lang w:val="en-US" w:eastAsia="zh-CN"/>
              </w:rPr>
              <w:t>7~</w:t>
            </w:r>
            <w:r>
              <w:rPr>
                <w:sz w:val="18"/>
                <w:szCs w:val="18"/>
              </w:rPr>
              <w:t>5:5</w:t>
            </w:r>
          </w:p>
        </w:tc>
        <w:tc>
          <w:tcPr>
            <w:tcW w:w="785" w:type="pct"/>
            <w:shd w:val="clear" w:color="auto" w:fill="auto"/>
            <w:vAlign w:val="center"/>
          </w:tcPr>
          <w:p w14:paraId="2CC41305">
            <w:pPr>
              <w:widowControl/>
              <w:jc w:val="center"/>
              <w:rPr>
                <w:sz w:val="18"/>
                <w:szCs w:val="18"/>
              </w:rPr>
            </w:pPr>
            <w:r>
              <w:rPr>
                <w:sz w:val="18"/>
                <w:szCs w:val="18"/>
              </w:rPr>
              <w:t>&lt;15</w:t>
            </w:r>
          </w:p>
        </w:tc>
        <w:tc>
          <w:tcPr>
            <w:tcW w:w="681" w:type="pct"/>
            <w:shd w:val="clear" w:color="auto" w:fill="auto"/>
            <w:vAlign w:val="center"/>
          </w:tcPr>
          <w:p w14:paraId="52B35A07">
            <w:pPr>
              <w:widowControl/>
              <w:jc w:val="center"/>
              <w:rPr>
                <w:sz w:val="18"/>
                <w:szCs w:val="18"/>
              </w:rPr>
            </w:pPr>
            <w:r>
              <w:rPr>
                <w:sz w:val="18"/>
                <w:szCs w:val="18"/>
              </w:rPr>
              <w:t>3</w:t>
            </w:r>
            <w:r>
              <w:rPr>
                <w:kern w:val="0"/>
                <w:sz w:val="18"/>
                <w:szCs w:val="18"/>
              </w:rPr>
              <w:t>～</w:t>
            </w:r>
            <w:r>
              <w:rPr>
                <w:sz w:val="18"/>
                <w:szCs w:val="18"/>
              </w:rPr>
              <w:t>6</w:t>
            </w:r>
          </w:p>
        </w:tc>
        <w:tc>
          <w:tcPr>
            <w:tcW w:w="777" w:type="pct"/>
            <w:shd w:val="clear" w:color="auto" w:fill="auto"/>
            <w:vAlign w:val="center"/>
          </w:tcPr>
          <w:p w14:paraId="6CD097D6">
            <w:pPr>
              <w:widowControl/>
              <w:jc w:val="center"/>
              <w:rPr>
                <w:sz w:val="18"/>
                <w:szCs w:val="18"/>
              </w:rPr>
            </w:pPr>
            <w:r>
              <w:rPr>
                <w:sz w:val="18"/>
                <w:szCs w:val="18"/>
              </w:rPr>
              <w:t>&lt;100</w:t>
            </w:r>
          </w:p>
        </w:tc>
        <w:tc>
          <w:tcPr>
            <w:tcW w:w="764" w:type="pct"/>
            <w:shd w:val="clear" w:color="auto" w:fill="auto"/>
            <w:vAlign w:val="center"/>
          </w:tcPr>
          <w:p w14:paraId="534536B6">
            <w:pPr>
              <w:widowControl/>
              <w:jc w:val="center"/>
              <w:rPr>
                <w:sz w:val="18"/>
                <w:szCs w:val="18"/>
              </w:rPr>
            </w:pPr>
            <w:r>
              <w:rPr>
                <w:sz w:val="18"/>
                <w:szCs w:val="18"/>
              </w:rPr>
              <w:t>3</w:t>
            </w:r>
            <w:r>
              <w:rPr>
                <w:kern w:val="0"/>
                <w:sz w:val="18"/>
                <w:szCs w:val="18"/>
              </w:rPr>
              <w:t>～</w:t>
            </w:r>
            <w:r>
              <w:rPr>
                <w:sz w:val="18"/>
                <w:szCs w:val="18"/>
              </w:rPr>
              <w:t>4</w:t>
            </w:r>
          </w:p>
        </w:tc>
      </w:tr>
      <w:tr w14:paraId="15FF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03" w:type="pct"/>
            <w:vAlign w:val="center"/>
          </w:tcPr>
          <w:p w14:paraId="64EF07F4">
            <w:pPr>
              <w:widowControl/>
              <w:jc w:val="center"/>
              <w:rPr>
                <w:sz w:val="18"/>
                <w:szCs w:val="18"/>
              </w:rPr>
            </w:pPr>
            <w:r>
              <w:rPr>
                <w:sz w:val="18"/>
                <w:szCs w:val="18"/>
              </w:rPr>
              <w:t>600~650</w:t>
            </w:r>
          </w:p>
        </w:tc>
        <w:tc>
          <w:tcPr>
            <w:tcW w:w="703" w:type="pct"/>
            <w:vAlign w:val="center"/>
          </w:tcPr>
          <w:p w14:paraId="00E3682E">
            <w:pPr>
              <w:widowControl/>
              <w:jc w:val="center"/>
              <w:rPr>
                <w:sz w:val="18"/>
                <w:szCs w:val="18"/>
              </w:rPr>
            </w:pPr>
            <w:r>
              <w:rPr>
                <w:sz w:val="18"/>
                <w:szCs w:val="18"/>
              </w:rPr>
              <w:t>11</w:t>
            </w:r>
            <w:r>
              <w:rPr>
                <w:kern w:val="0"/>
                <w:sz w:val="18"/>
                <w:szCs w:val="18"/>
              </w:rPr>
              <w:t>～</w:t>
            </w:r>
            <w:r>
              <w:rPr>
                <w:sz w:val="18"/>
                <w:szCs w:val="18"/>
              </w:rPr>
              <w:t>15</w:t>
            </w:r>
          </w:p>
        </w:tc>
        <w:tc>
          <w:tcPr>
            <w:tcW w:w="583" w:type="pct"/>
            <w:vMerge w:val="continue"/>
            <w:vAlign w:val="center"/>
          </w:tcPr>
          <w:p w14:paraId="3FB1D46E">
            <w:pPr>
              <w:widowControl/>
              <w:jc w:val="center"/>
              <w:rPr>
                <w:sz w:val="18"/>
                <w:szCs w:val="18"/>
              </w:rPr>
            </w:pPr>
          </w:p>
        </w:tc>
        <w:tc>
          <w:tcPr>
            <w:tcW w:w="785" w:type="pct"/>
            <w:vAlign w:val="center"/>
          </w:tcPr>
          <w:p w14:paraId="44B5716B">
            <w:pPr>
              <w:widowControl/>
              <w:jc w:val="center"/>
              <w:rPr>
                <w:sz w:val="18"/>
                <w:szCs w:val="18"/>
              </w:rPr>
            </w:pPr>
            <w:r>
              <w:rPr>
                <w:sz w:val="18"/>
                <w:szCs w:val="18"/>
              </w:rPr>
              <w:t>15</w:t>
            </w:r>
            <w:r>
              <w:rPr>
                <w:kern w:val="0"/>
                <w:sz w:val="18"/>
                <w:szCs w:val="18"/>
              </w:rPr>
              <w:t>～</w:t>
            </w:r>
            <w:r>
              <w:rPr>
                <w:sz w:val="18"/>
                <w:szCs w:val="18"/>
              </w:rPr>
              <w:t>20</w:t>
            </w:r>
          </w:p>
        </w:tc>
        <w:tc>
          <w:tcPr>
            <w:tcW w:w="681" w:type="pct"/>
            <w:vAlign w:val="center"/>
          </w:tcPr>
          <w:p w14:paraId="4D0E059E">
            <w:pPr>
              <w:widowControl/>
              <w:jc w:val="center"/>
              <w:rPr>
                <w:sz w:val="18"/>
                <w:szCs w:val="18"/>
              </w:rPr>
            </w:pPr>
            <w:r>
              <w:rPr>
                <w:sz w:val="18"/>
                <w:szCs w:val="18"/>
              </w:rPr>
              <w:t>4</w:t>
            </w:r>
            <w:r>
              <w:rPr>
                <w:kern w:val="0"/>
                <w:sz w:val="18"/>
                <w:szCs w:val="18"/>
              </w:rPr>
              <w:t>～</w:t>
            </w:r>
            <w:r>
              <w:rPr>
                <w:sz w:val="18"/>
                <w:szCs w:val="18"/>
              </w:rPr>
              <w:t>7</w:t>
            </w:r>
          </w:p>
        </w:tc>
        <w:tc>
          <w:tcPr>
            <w:tcW w:w="777" w:type="pct"/>
            <w:vAlign w:val="center"/>
          </w:tcPr>
          <w:p w14:paraId="2B0B6701">
            <w:pPr>
              <w:widowControl/>
              <w:jc w:val="center"/>
              <w:rPr>
                <w:sz w:val="18"/>
                <w:szCs w:val="18"/>
              </w:rPr>
            </w:pPr>
            <w:r>
              <w:rPr>
                <w:sz w:val="18"/>
                <w:szCs w:val="18"/>
              </w:rPr>
              <w:t>100</w:t>
            </w:r>
            <w:r>
              <w:rPr>
                <w:kern w:val="0"/>
                <w:sz w:val="18"/>
                <w:szCs w:val="18"/>
              </w:rPr>
              <w:t>～</w:t>
            </w:r>
            <w:r>
              <w:rPr>
                <w:sz w:val="18"/>
                <w:szCs w:val="18"/>
              </w:rPr>
              <w:t>115</w:t>
            </w:r>
          </w:p>
        </w:tc>
        <w:tc>
          <w:tcPr>
            <w:tcW w:w="764" w:type="pct"/>
            <w:vAlign w:val="center"/>
          </w:tcPr>
          <w:p w14:paraId="18A9A27B">
            <w:pPr>
              <w:widowControl/>
              <w:jc w:val="center"/>
              <w:rPr>
                <w:sz w:val="18"/>
                <w:szCs w:val="18"/>
              </w:rPr>
            </w:pPr>
            <w:r>
              <w:rPr>
                <w:sz w:val="18"/>
                <w:szCs w:val="18"/>
              </w:rPr>
              <w:t>3</w:t>
            </w:r>
            <w:r>
              <w:rPr>
                <w:kern w:val="0"/>
                <w:sz w:val="18"/>
                <w:szCs w:val="18"/>
              </w:rPr>
              <w:t>～</w:t>
            </w:r>
            <w:r>
              <w:rPr>
                <w:sz w:val="18"/>
                <w:szCs w:val="18"/>
              </w:rPr>
              <w:t>5</w:t>
            </w:r>
          </w:p>
        </w:tc>
      </w:tr>
      <w:tr w14:paraId="6FFA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03" w:type="pct"/>
            <w:vAlign w:val="center"/>
          </w:tcPr>
          <w:p w14:paraId="54F79506">
            <w:pPr>
              <w:widowControl/>
              <w:jc w:val="center"/>
              <w:rPr>
                <w:sz w:val="18"/>
                <w:szCs w:val="18"/>
              </w:rPr>
            </w:pPr>
            <w:r>
              <w:rPr>
                <w:sz w:val="18"/>
                <w:szCs w:val="18"/>
              </w:rPr>
              <w:t>650~700</w:t>
            </w:r>
          </w:p>
        </w:tc>
        <w:tc>
          <w:tcPr>
            <w:tcW w:w="703" w:type="pct"/>
            <w:vAlign w:val="center"/>
          </w:tcPr>
          <w:p w14:paraId="3C204732">
            <w:pPr>
              <w:widowControl/>
              <w:jc w:val="center"/>
              <w:rPr>
                <w:sz w:val="18"/>
                <w:szCs w:val="18"/>
              </w:rPr>
            </w:pPr>
            <w:r>
              <w:rPr>
                <w:sz w:val="18"/>
                <w:szCs w:val="18"/>
              </w:rPr>
              <w:t>12</w:t>
            </w:r>
            <w:r>
              <w:rPr>
                <w:kern w:val="0"/>
                <w:sz w:val="18"/>
                <w:szCs w:val="18"/>
              </w:rPr>
              <w:t>～</w:t>
            </w:r>
            <w:r>
              <w:rPr>
                <w:sz w:val="18"/>
                <w:szCs w:val="18"/>
              </w:rPr>
              <w:t>16</w:t>
            </w:r>
          </w:p>
        </w:tc>
        <w:tc>
          <w:tcPr>
            <w:tcW w:w="583" w:type="pct"/>
            <w:vMerge w:val="continue"/>
            <w:vAlign w:val="center"/>
          </w:tcPr>
          <w:p w14:paraId="085C2FD0">
            <w:pPr>
              <w:widowControl/>
              <w:jc w:val="center"/>
              <w:rPr>
                <w:sz w:val="18"/>
                <w:szCs w:val="18"/>
              </w:rPr>
            </w:pPr>
          </w:p>
        </w:tc>
        <w:tc>
          <w:tcPr>
            <w:tcW w:w="785" w:type="pct"/>
            <w:vAlign w:val="center"/>
          </w:tcPr>
          <w:p w14:paraId="795644A3">
            <w:pPr>
              <w:widowControl/>
              <w:jc w:val="center"/>
              <w:rPr>
                <w:sz w:val="18"/>
                <w:szCs w:val="18"/>
              </w:rPr>
            </w:pPr>
            <w:r>
              <w:rPr>
                <w:sz w:val="18"/>
                <w:szCs w:val="18"/>
              </w:rPr>
              <w:t>20</w:t>
            </w:r>
            <w:r>
              <w:rPr>
                <w:kern w:val="0"/>
                <w:sz w:val="18"/>
                <w:szCs w:val="18"/>
              </w:rPr>
              <w:t>～</w:t>
            </w:r>
            <w:r>
              <w:rPr>
                <w:sz w:val="18"/>
                <w:szCs w:val="18"/>
              </w:rPr>
              <w:t>25</w:t>
            </w:r>
          </w:p>
        </w:tc>
        <w:tc>
          <w:tcPr>
            <w:tcW w:w="681" w:type="pct"/>
            <w:vAlign w:val="center"/>
          </w:tcPr>
          <w:p w14:paraId="7C9F9685">
            <w:pPr>
              <w:widowControl/>
              <w:jc w:val="center"/>
              <w:rPr>
                <w:sz w:val="18"/>
                <w:szCs w:val="18"/>
              </w:rPr>
            </w:pPr>
            <w:r>
              <w:rPr>
                <w:sz w:val="18"/>
                <w:szCs w:val="18"/>
              </w:rPr>
              <w:t>5</w:t>
            </w:r>
            <w:r>
              <w:rPr>
                <w:kern w:val="0"/>
                <w:sz w:val="18"/>
                <w:szCs w:val="18"/>
              </w:rPr>
              <w:t>～</w:t>
            </w:r>
            <w:r>
              <w:rPr>
                <w:sz w:val="18"/>
                <w:szCs w:val="18"/>
              </w:rPr>
              <w:t>8</w:t>
            </w:r>
          </w:p>
        </w:tc>
        <w:tc>
          <w:tcPr>
            <w:tcW w:w="777" w:type="pct"/>
            <w:vAlign w:val="center"/>
          </w:tcPr>
          <w:p w14:paraId="1BA57882">
            <w:pPr>
              <w:widowControl/>
              <w:jc w:val="center"/>
              <w:rPr>
                <w:sz w:val="18"/>
                <w:szCs w:val="18"/>
              </w:rPr>
            </w:pPr>
            <w:r>
              <w:rPr>
                <w:sz w:val="18"/>
                <w:szCs w:val="18"/>
              </w:rPr>
              <w:t>115</w:t>
            </w:r>
            <w:r>
              <w:rPr>
                <w:kern w:val="0"/>
                <w:sz w:val="18"/>
                <w:szCs w:val="18"/>
              </w:rPr>
              <w:t>～</w:t>
            </w:r>
            <w:r>
              <w:rPr>
                <w:sz w:val="18"/>
                <w:szCs w:val="18"/>
              </w:rPr>
              <w:t>130</w:t>
            </w:r>
          </w:p>
        </w:tc>
        <w:tc>
          <w:tcPr>
            <w:tcW w:w="764" w:type="pct"/>
            <w:vAlign w:val="center"/>
          </w:tcPr>
          <w:p w14:paraId="70910FFD">
            <w:pPr>
              <w:widowControl/>
              <w:jc w:val="center"/>
              <w:rPr>
                <w:sz w:val="18"/>
                <w:szCs w:val="18"/>
              </w:rPr>
            </w:pPr>
            <w:r>
              <w:rPr>
                <w:sz w:val="18"/>
                <w:szCs w:val="18"/>
              </w:rPr>
              <w:t>4</w:t>
            </w:r>
            <w:r>
              <w:rPr>
                <w:kern w:val="0"/>
                <w:sz w:val="18"/>
                <w:szCs w:val="18"/>
              </w:rPr>
              <w:t>～</w:t>
            </w:r>
            <w:r>
              <w:rPr>
                <w:sz w:val="18"/>
                <w:szCs w:val="18"/>
              </w:rPr>
              <w:t>6</w:t>
            </w:r>
          </w:p>
        </w:tc>
      </w:tr>
      <w:tr w14:paraId="502B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03" w:type="pct"/>
            <w:vAlign w:val="center"/>
          </w:tcPr>
          <w:p w14:paraId="31445956">
            <w:pPr>
              <w:widowControl/>
              <w:jc w:val="center"/>
              <w:rPr>
                <w:sz w:val="18"/>
                <w:szCs w:val="18"/>
              </w:rPr>
            </w:pPr>
            <w:r>
              <w:rPr>
                <w:sz w:val="18"/>
                <w:szCs w:val="18"/>
              </w:rPr>
              <w:t>700~750</w:t>
            </w:r>
          </w:p>
        </w:tc>
        <w:tc>
          <w:tcPr>
            <w:tcW w:w="703" w:type="pct"/>
            <w:vAlign w:val="center"/>
          </w:tcPr>
          <w:p w14:paraId="479BA2F6">
            <w:pPr>
              <w:widowControl/>
              <w:jc w:val="center"/>
              <w:rPr>
                <w:sz w:val="18"/>
                <w:szCs w:val="18"/>
              </w:rPr>
            </w:pPr>
            <w:r>
              <w:rPr>
                <w:sz w:val="18"/>
                <w:szCs w:val="18"/>
              </w:rPr>
              <w:t>13</w:t>
            </w:r>
            <w:r>
              <w:rPr>
                <w:kern w:val="0"/>
                <w:sz w:val="18"/>
                <w:szCs w:val="18"/>
              </w:rPr>
              <w:t>～</w:t>
            </w:r>
            <w:r>
              <w:rPr>
                <w:sz w:val="18"/>
                <w:szCs w:val="18"/>
              </w:rPr>
              <w:t>17</w:t>
            </w:r>
          </w:p>
        </w:tc>
        <w:tc>
          <w:tcPr>
            <w:tcW w:w="583" w:type="pct"/>
            <w:vMerge w:val="continue"/>
            <w:vAlign w:val="center"/>
          </w:tcPr>
          <w:p w14:paraId="159913ED">
            <w:pPr>
              <w:jc w:val="center"/>
              <w:rPr>
                <w:sz w:val="18"/>
                <w:szCs w:val="18"/>
              </w:rPr>
            </w:pPr>
          </w:p>
        </w:tc>
        <w:tc>
          <w:tcPr>
            <w:tcW w:w="785" w:type="pct"/>
            <w:vAlign w:val="center"/>
          </w:tcPr>
          <w:p w14:paraId="067F7481">
            <w:pPr>
              <w:widowControl/>
              <w:jc w:val="center"/>
              <w:rPr>
                <w:sz w:val="18"/>
                <w:szCs w:val="18"/>
              </w:rPr>
            </w:pPr>
            <w:r>
              <w:rPr>
                <w:rFonts w:eastAsia="东文宋体"/>
                <w:sz w:val="18"/>
                <w:szCs w:val="18"/>
              </w:rPr>
              <w:t>≥</w:t>
            </w:r>
            <w:r>
              <w:rPr>
                <w:sz w:val="18"/>
                <w:szCs w:val="18"/>
              </w:rPr>
              <w:t>25</w:t>
            </w:r>
          </w:p>
        </w:tc>
        <w:tc>
          <w:tcPr>
            <w:tcW w:w="681" w:type="pct"/>
            <w:vAlign w:val="center"/>
          </w:tcPr>
          <w:p w14:paraId="4A5DADB3">
            <w:pPr>
              <w:widowControl/>
              <w:jc w:val="center"/>
              <w:rPr>
                <w:sz w:val="18"/>
                <w:szCs w:val="18"/>
              </w:rPr>
            </w:pPr>
            <w:r>
              <w:rPr>
                <w:sz w:val="18"/>
                <w:szCs w:val="18"/>
              </w:rPr>
              <w:t>6</w:t>
            </w:r>
            <w:r>
              <w:rPr>
                <w:kern w:val="0"/>
                <w:sz w:val="18"/>
                <w:szCs w:val="18"/>
              </w:rPr>
              <w:t>～</w:t>
            </w:r>
            <w:r>
              <w:rPr>
                <w:sz w:val="18"/>
                <w:szCs w:val="18"/>
              </w:rPr>
              <w:t>8</w:t>
            </w:r>
          </w:p>
        </w:tc>
        <w:tc>
          <w:tcPr>
            <w:tcW w:w="777" w:type="pct"/>
            <w:vAlign w:val="center"/>
          </w:tcPr>
          <w:p w14:paraId="6951801F">
            <w:pPr>
              <w:widowControl/>
              <w:jc w:val="center"/>
              <w:rPr>
                <w:sz w:val="18"/>
                <w:szCs w:val="18"/>
              </w:rPr>
            </w:pPr>
            <w:r>
              <w:rPr>
                <w:rFonts w:eastAsia="东文宋体"/>
                <w:sz w:val="18"/>
                <w:szCs w:val="18"/>
              </w:rPr>
              <w:t>≥</w:t>
            </w:r>
            <w:r>
              <w:rPr>
                <w:sz w:val="18"/>
                <w:szCs w:val="18"/>
              </w:rPr>
              <w:t>130</w:t>
            </w:r>
          </w:p>
        </w:tc>
        <w:tc>
          <w:tcPr>
            <w:tcW w:w="764" w:type="pct"/>
            <w:vAlign w:val="center"/>
          </w:tcPr>
          <w:p w14:paraId="15CC9830">
            <w:pPr>
              <w:widowControl/>
              <w:jc w:val="center"/>
              <w:rPr>
                <w:sz w:val="18"/>
                <w:szCs w:val="18"/>
              </w:rPr>
            </w:pPr>
            <w:r>
              <w:rPr>
                <w:sz w:val="18"/>
                <w:szCs w:val="18"/>
              </w:rPr>
              <w:t>4</w:t>
            </w:r>
            <w:r>
              <w:rPr>
                <w:kern w:val="0"/>
                <w:sz w:val="18"/>
                <w:szCs w:val="18"/>
              </w:rPr>
              <w:t>～</w:t>
            </w:r>
            <w:r>
              <w:rPr>
                <w:sz w:val="18"/>
                <w:szCs w:val="18"/>
              </w:rPr>
              <w:t>6</w:t>
            </w:r>
          </w:p>
        </w:tc>
      </w:tr>
      <w:tr w14:paraId="7F81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03" w:type="pct"/>
            <w:vAlign w:val="center"/>
          </w:tcPr>
          <w:p w14:paraId="50AB0849">
            <w:pPr>
              <w:widowControl/>
              <w:jc w:val="center"/>
              <w:rPr>
                <w:sz w:val="18"/>
                <w:szCs w:val="18"/>
              </w:rPr>
            </w:pPr>
            <w:r>
              <w:rPr>
                <w:sz w:val="18"/>
                <w:szCs w:val="18"/>
              </w:rPr>
              <w:t>&gt;750</w:t>
            </w:r>
          </w:p>
        </w:tc>
        <w:tc>
          <w:tcPr>
            <w:tcW w:w="703" w:type="pct"/>
            <w:vAlign w:val="center"/>
          </w:tcPr>
          <w:p w14:paraId="05A3B197">
            <w:pPr>
              <w:widowControl/>
              <w:jc w:val="center"/>
              <w:rPr>
                <w:sz w:val="18"/>
                <w:szCs w:val="18"/>
              </w:rPr>
            </w:pPr>
            <w:r>
              <w:rPr>
                <w:sz w:val="18"/>
                <w:szCs w:val="18"/>
              </w:rPr>
              <w:t>15</w:t>
            </w:r>
            <w:r>
              <w:rPr>
                <w:kern w:val="0"/>
                <w:sz w:val="18"/>
                <w:szCs w:val="18"/>
              </w:rPr>
              <w:t>～</w:t>
            </w:r>
            <w:r>
              <w:rPr>
                <w:sz w:val="18"/>
                <w:szCs w:val="18"/>
              </w:rPr>
              <w:t>20</w:t>
            </w:r>
          </w:p>
        </w:tc>
        <w:tc>
          <w:tcPr>
            <w:tcW w:w="583" w:type="pct"/>
            <w:vMerge w:val="continue"/>
            <w:vAlign w:val="center"/>
          </w:tcPr>
          <w:p w14:paraId="638DE446">
            <w:pPr>
              <w:widowControl/>
              <w:jc w:val="center"/>
              <w:rPr>
                <w:sz w:val="18"/>
                <w:szCs w:val="18"/>
              </w:rPr>
            </w:pPr>
          </w:p>
        </w:tc>
        <w:tc>
          <w:tcPr>
            <w:tcW w:w="785" w:type="pct"/>
            <w:vAlign w:val="center"/>
          </w:tcPr>
          <w:p w14:paraId="23D5A41B">
            <w:pPr>
              <w:widowControl/>
              <w:jc w:val="center"/>
              <w:rPr>
                <w:sz w:val="18"/>
                <w:szCs w:val="18"/>
              </w:rPr>
            </w:pPr>
            <w:r>
              <w:rPr>
                <w:rFonts w:eastAsia="东文宋体"/>
                <w:sz w:val="18"/>
                <w:szCs w:val="18"/>
              </w:rPr>
              <w:t>≥</w:t>
            </w:r>
            <w:r>
              <w:rPr>
                <w:sz w:val="18"/>
                <w:szCs w:val="18"/>
              </w:rPr>
              <w:t>25</w:t>
            </w:r>
          </w:p>
        </w:tc>
        <w:tc>
          <w:tcPr>
            <w:tcW w:w="681" w:type="pct"/>
            <w:vAlign w:val="center"/>
          </w:tcPr>
          <w:p w14:paraId="56209CE6">
            <w:pPr>
              <w:widowControl/>
              <w:jc w:val="center"/>
              <w:rPr>
                <w:sz w:val="18"/>
                <w:szCs w:val="18"/>
              </w:rPr>
            </w:pPr>
            <w:r>
              <w:rPr>
                <w:sz w:val="18"/>
                <w:szCs w:val="18"/>
              </w:rPr>
              <w:t>6</w:t>
            </w:r>
            <w:r>
              <w:rPr>
                <w:kern w:val="0"/>
                <w:sz w:val="18"/>
                <w:szCs w:val="18"/>
              </w:rPr>
              <w:t>～</w:t>
            </w:r>
            <w:r>
              <w:rPr>
                <w:sz w:val="18"/>
                <w:szCs w:val="18"/>
              </w:rPr>
              <w:t>9</w:t>
            </w:r>
          </w:p>
        </w:tc>
        <w:tc>
          <w:tcPr>
            <w:tcW w:w="777" w:type="pct"/>
            <w:vAlign w:val="center"/>
          </w:tcPr>
          <w:p w14:paraId="7C0C0449">
            <w:pPr>
              <w:widowControl/>
              <w:jc w:val="center"/>
              <w:rPr>
                <w:sz w:val="18"/>
                <w:szCs w:val="18"/>
              </w:rPr>
            </w:pPr>
            <w:r>
              <w:rPr>
                <w:rFonts w:eastAsia="东文宋体"/>
                <w:sz w:val="18"/>
                <w:szCs w:val="18"/>
              </w:rPr>
              <w:t>≥</w:t>
            </w:r>
            <w:r>
              <w:rPr>
                <w:sz w:val="18"/>
                <w:szCs w:val="18"/>
              </w:rPr>
              <w:t>130</w:t>
            </w:r>
          </w:p>
        </w:tc>
        <w:tc>
          <w:tcPr>
            <w:tcW w:w="764" w:type="pct"/>
            <w:vAlign w:val="center"/>
          </w:tcPr>
          <w:p w14:paraId="0DF1E448">
            <w:pPr>
              <w:widowControl/>
              <w:jc w:val="center"/>
              <w:rPr>
                <w:sz w:val="18"/>
                <w:szCs w:val="18"/>
              </w:rPr>
            </w:pPr>
            <w:r>
              <w:rPr>
                <w:sz w:val="18"/>
                <w:szCs w:val="18"/>
              </w:rPr>
              <w:t>5</w:t>
            </w:r>
            <w:r>
              <w:rPr>
                <w:kern w:val="0"/>
                <w:sz w:val="18"/>
                <w:szCs w:val="18"/>
              </w:rPr>
              <w:t>～</w:t>
            </w:r>
            <w:r>
              <w:rPr>
                <w:sz w:val="18"/>
                <w:szCs w:val="18"/>
              </w:rPr>
              <w:t>7</w:t>
            </w:r>
          </w:p>
        </w:tc>
      </w:tr>
    </w:tbl>
    <w:p w14:paraId="47557A74">
      <w:pPr>
        <w:keepNext/>
        <w:keepLines/>
        <w:pageBreakBefore/>
        <w:spacing w:before="156" w:beforeLines="50"/>
        <w:jc w:val="center"/>
        <w:outlineLvl w:val="0"/>
        <w:rPr>
          <w:rFonts w:hint="eastAsia" w:eastAsia="黑体"/>
          <w:b/>
          <w:kern w:val="44"/>
          <w:szCs w:val="20"/>
          <w:lang w:eastAsia="zh-CN"/>
        </w:rPr>
      </w:pPr>
      <w:bookmarkStart w:id="103" w:name="_Toc28404"/>
      <w:r>
        <w:rPr>
          <w:rFonts w:eastAsia="黑体"/>
          <w:b/>
          <w:kern w:val="44"/>
          <w:szCs w:val="20"/>
        </w:rPr>
        <w:t>附录</w:t>
      </w:r>
      <w:r>
        <w:rPr>
          <w:rFonts w:hint="eastAsia" w:eastAsia="黑体"/>
          <w:b/>
          <w:kern w:val="44"/>
          <w:szCs w:val="20"/>
          <w:lang w:val="en-US" w:eastAsia="zh-CN"/>
        </w:rPr>
        <w:t>B</w:t>
      </w:r>
      <w:bookmarkEnd w:id="103"/>
    </w:p>
    <w:p w14:paraId="5D8579BD">
      <w:pPr>
        <w:keepNext/>
        <w:keepLines/>
        <w:spacing w:before="156" w:beforeLines="50" w:after="156" w:afterLines="50"/>
        <w:jc w:val="center"/>
        <w:outlineLvl w:val="0"/>
        <w:rPr>
          <w:rFonts w:eastAsia="黑体"/>
          <w:bCs/>
          <w:kern w:val="44"/>
          <w:szCs w:val="20"/>
        </w:rPr>
      </w:pPr>
      <w:bookmarkStart w:id="104" w:name="_Toc28191"/>
      <w:r>
        <w:rPr>
          <w:rFonts w:eastAsia="黑体"/>
          <w:bCs/>
          <w:kern w:val="44"/>
          <w:szCs w:val="20"/>
        </w:rPr>
        <w:t>（资料性）</w:t>
      </w:r>
      <w:bookmarkEnd w:id="104"/>
    </w:p>
    <w:p w14:paraId="00026CC2">
      <w:pPr>
        <w:keepNext/>
        <w:keepLines/>
        <w:spacing w:before="156" w:beforeLines="50" w:after="156" w:afterLines="50"/>
        <w:jc w:val="center"/>
        <w:outlineLvl w:val="0"/>
        <w:rPr>
          <w:rFonts w:hint="eastAsia" w:eastAsia="黑体"/>
          <w:bCs/>
          <w:kern w:val="44"/>
          <w:szCs w:val="20"/>
          <w:lang w:val="en-US" w:eastAsia="zh-CN"/>
        </w:rPr>
      </w:pPr>
      <w:r>
        <w:rPr>
          <w:rFonts w:hint="eastAsia" w:eastAsia="黑体"/>
          <w:bCs/>
          <w:kern w:val="44"/>
          <w:szCs w:val="20"/>
          <w:lang w:val="en-US" w:eastAsia="zh-CN"/>
        </w:rPr>
        <w:t>冬小麦和夏玉米灌溉时段推荐表</w:t>
      </w:r>
    </w:p>
    <w:p w14:paraId="2D33E2BE">
      <w:pPr>
        <w:widowControl/>
        <w:ind w:firstLine="420" w:firstLineChars="200"/>
        <w:jc w:val="left"/>
        <w:rPr>
          <w:rFonts w:hint="eastAsia"/>
          <w:szCs w:val="21"/>
        </w:rPr>
      </w:pPr>
      <w:r>
        <w:rPr>
          <w:szCs w:val="21"/>
        </w:rPr>
        <w:t>表</w:t>
      </w:r>
      <w:r>
        <w:rPr>
          <w:rFonts w:hint="eastAsia"/>
          <w:szCs w:val="21"/>
          <w:lang w:val="en-US" w:eastAsia="zh-CN"/>
        </w:rPr>
        <w:t>B</w:t>
      </w:r>
      <w:r>
        <w:rPr>
          <w:szCs w:val="21"/>
        </w:rPr>
        <w:t>.1</w:t>
      </w:r>
      <w:r>
        <w:rPr>
          <w:rFonts w:hint="eastAsia"/>
          <w:szCs w:val="21"/>
        </w:rPr>
        <w:t>和表</w:t>
      </w:r>
      <w:r>
        <w:rPr>
          <w:rFonts w:hint="eastAsia"/>
          <w:szCs w:val="21"/>
          <w:lang w:val="en-US" w:eastAsia="zh-CN"/>
        </w:rPr>
        <w:t>B</w:t>
      </w:r>
      <w:r>
        <w:rPr>
          <w:rFonts w:hint="eastAsia"/>
          <w:szCs w:val="21"/>
        </w:rPr>
        <w:t>.2</w:t>
      </w:r>
      <w:r>
        <w:rPr>
          <w:rFonts w:hint="eastAsia"/>
          <w:szCs w:val="21"/>
          <w:lang w:val="en-US" w:eastAsia="zh-CN"/>
        </w:rPr>
        <w:t>分别</w:t>
      </w:r>
      <w:r>
        <w:rPr>
          <w:rFonts w:hint="eastAsia"/>
          <w:szCs w:val="21"/>
        </w:rPr>
        <w:t>给出了</w:t>
      </w:r>
      <w:r>
        <w:rPr>
          <w:rFonts w:hint="eastAsia"/>
          <w:szCs w:val="21"/>
          <w:lang w:val="en-US" w:eastAsia="zh-CN"/>
        </w:rPr>
        <w:t>冬小麦和夏玉米灌溉时段</w:t>
      </w:r>
      <w:r>
        <w:rPr>
          <w:rFonts w:hint="eastAsia"/>
          <w:szCs w:val="21"/>
        </w:rPr>
        <w:t>。</w:t>
      </w:r>
    </w:p>
    <w:p w14:paraId="670122F9">
      <w:pPr>
        <w:pStyle w:val="108"/>
        <w:numPr>
          <w:ilvl w:val="0"/>
          <w:numId w:val="0"/>
        </w:numPr>
        <w:tabs>
          <w:tab w:val="left" w:pos="210"/>
        </w:tabs>
        <w:spacing w:before="156" w:beforeLines="50" w:after="156" w:afterLines="50"/>
        <w:ind w:left="403"/>
        <w:jc w:val="center"/>
        <w:rPr>
          <w:rFonts w:hint="eastAsia" w:ascii="Times New Roman"/>
          <w:bCs/>
          <w:kern w:val="44"/>
          <w:lang w:val="en-US" w:eastAsia="zh-CN"/>
        </w:rPr>
      </w:pPr>
      <w:r>
        <w:rPr>
          <w:rFonts w:hint="eastAsia" w:ascii="Times New Roman"/>
          <w:bCs/>
          <w:kern w:val="44"/>
        </w:rPr>
        <w:t>表</w:t>
      </w:r>
      <w:r>
        <w:rPr>
          <w:rFonts w:hint="eastAsia" w:ascii="Times New Roman"/>
          <w:bCs/>
          <w:kern w:val="44"/>
          <w:lang w:val="en-US" w:eastAsia="zh-CN"/>
        </w:rPr>
        <w:t>B</w:t>
      </w:r>
      <w:r>
        <w:rPr>
          <w:rFonts w:hint="eastAsia" w:ascii="Times New Roman"/>
          <w:bCs/>
          <w:kern w:val="44"/>
        </w:rPr>
        <w:t xml:space="preserve">.1  </w:t>
      </w:r>
      <w:r>
        <w:rPr>
          <w:rFonts w:hint="eastAsia" w:ascii="Times New Roman"/>
          <w:bCs/>
          <w:kern w:val="44"/>
          <w:lang w:val="en-US" w:eastAsia="zh-CN"/>
        </w:rPr>
        <w:t>冬小麦灌溉时段推荐表</w:t>
      </w:r>
    </w:p>
    <w:tbl>
      <w:tblPr>
        <w:tblStyle w:val="32"/>
        <w:tblW w:w="42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1516"/>
        <w:gridCol w:w="1728"/>
        <w:gridCol w:w="1556"/>
        <w:gridCol w:w="1730"/>
      </w:tblGrid>
      <w:tr w14:paraId="7364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40" w:type="pct"/>
            <w:shd w:val="clear" w:color="auto" w:fill="auto"/>
            <w:noWrap/>
            <w:vAlign w:val="center"/>
          </w:tcPr>
          <w:p w14:paraId="63AA9973">
            <w:pPr>
              <w:jc w:val="center"/>
              <w:rPr>
                <w:rFonts w:hint="eastAsia" w:eastAsia="黑体"/>
                <w:bCs/>
                <w:kern w:val="44"/>
                <w:szCs w:val="20"/>
                <w:lang w:eastAsia="zh-CN"/>
              </w:rPr>
            </w:pPr>
            <w:r>
              <w:rPr>
                <w:rFonts w:hint="eastAsia"/>
                <w:sz w:val="18"/>
                <w:szCs w:val="18"/>
                <w:lang w:val="en-US" w:eastAsia="zh-CN"/>
              </w:rPr>
              <w:t>降水年型</w:t>
            </w:r>
          </w:p>
        </w:tc>
        <w:tc>
          <w:tcPr>
            <w:tcW w:w="942" w:type="pct"/>
            <w:shd w:val="clear" w:color="auto" w:fill="auto"/>
            <w:noWrap/>
            <w:vAlign w:val="center"/>
          </w:tcPr>
          <w:p w14:paraId="43096AC9">
            <w:pPr>
              <w:jc w:val="center"/>
              <w:rPr>
                <w:rFonts w:hint="default" w:eastAsia="宋体"/>
                <w:sz w:val="18"/>
                <w:szCs w:val="18"/>
                <w:lang w:val="en-US" w:eastAsia="zh-CN"/>
              </w:rPr>
            </w:pPr>
            <w:r>
              <w:rPr>
                <w:rFonts w:hint="eastAsia"/>
                <w:sz w:val="18"/>
                <w:szCs w:val="18"/>
                <w:lang w:val="en-US" w:eastAsia="zh-CN"/>
              </w:rPr>
              <w:t>冬前或播种前后</w:t>
            </w:r>
          </w:p>
        </w:tc>
        <w:tc>
          <w:tcPr>
            <w:tcW w:w="1074" w:type="pct"/>
            <w:shd w:val="clear" w:color="auto" w:fill="auto"/>
            <w:noWrap/>
            <w:vAlign w:val="center"/>
          </w:tcPr>
          <w:p w14:paraId="170DC097">
            <w:pPr>
              <w:jc w:val="center"/>
              <w:rPr>
                <w:rFonts w:hint="default" w:eastAsia="宋体"/>
                <w:sz w:val="18"/>
                <w:szCs w:val="18"/>
                <w:lang w:val="en-US" w:eastAsia="zh-CN"/>
              </w:rPr>
            </w:pPr>
            <w:r>
              <w:rPr>
                <w:rFonts w:hint="eastAsia"/>
                <w:sz w:val="18"/>
                <w:szCs w:val="18"/>
                <w:lang w:val="en-US" w:eastAsia="zh-CN"/>
              </w:rPr>
              <w:t>返青至拔节期</w:t>
            </w:r>
          </w:p>
        </w:tc>
        <w:tc>
          <w:tcPr>
            <w:tcW w:w="967" w:type="pct"/>
            <w:shd w:val="clear" w:color="auto" w:fill="auto"/>
            <w:noWrap/>
            <w:vAlign w:val="center"/>
          </w:tcPr>
          <w:p w14:paraId="362CE847">
            <w:pPr>
              <w:jc w:val="center"/>
              <w:rPr>
                <w:rFonts w:hint="eastAsia" w:eastAsia="宋体"/>
                <w:sz w:val="18"/>
                <w:szCs w:val="18"/>
                <w:lang w:eastAsia="zh-CN"/>
              </w:rPr>
            </w:pPr>
            <w:r>
              <w:rPr>
                <w:rFonts w:hint="eastAsia"/>
                <w:sz w:val="18"/>
                <w:szCs w:val="18"/>
                <w:lang w:val="en-US" w:eastAsia="zh-CN"/>
              </w:rPr>
              <w:t>抽穗期</w:t>
            </w:r>
          </w:p>
        </w:tc>
        <w:tc>
          <w:tcPr>
            <w:tcW w:w="1075" w:type="pct"/>
            <w:shd w:val="clear" w:color="auto" w:fill="auto"/>
            <w:noWrap/>
            <w:vAlign w:val="center"/>
          </w:tcPr>
          <w:p w14:paraId="5E58F6CF">
            <w:pPr>
              <w:jc w:val="center"/>
              <w:rPr>
                <w:rFonts w:hint="eastAsia" w:eastAsia="宋体"/>
                <w:sz w:val="18"/>
                <w:szCs w:val="18"/>
                <w:lang w:eastAsia="zh-CN"/>
              </w:rPr>
            </w:pPr>
            <w:r>
              <w:rPr>
                <w:rFonts w:hint="eastAsia"/>
                <w:sz w:val="18"/>
                <w:szCs w:val="18"/>
                <w:lang w:val="en-US" w:eastAsia="zh-CN"/>
              </w:rPr>
              <w:t>灌浆初期</w:t>
            </w:r>
          </w:p>
        </w:tc>
      </w:tr>
      <w:tr w14:paraId="7D55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40" w:type="pct"/>
            <w:shd w:val="clear" w:color="auto" w:fill="auto"/>
            <w:noWrap/>
            <w:vAlign w:val="center"/>
          </w:tcPr>
          <w:p w14:paraId="1630C87D">
            <w:pPr>
              <w:jc w:val="center"/>
              <w:rPr>
                <w:rFonts w:hint="eastAsia" w:eastAsia="宋体"/>
                <w:sz w:val="18"/>
                <w:szCs w:val="18"/>
                <w:lang w:eastAsia="zh-CN"/>
              </w:rPr>
            </w:pPr>
            <w:r>
              <w:rPr>
                <w:rFonts w:hint="eastAsia"/>
                <w:sz w:val="18"/>
                <w:szCs w:val="18"/>
                <w:lang w:val="en-US" w:eastAsia="zh-CN"/>
              </w:rPr>
              <w:t>干旱年</w:t>
            </w:r>
          </w:p>
        </w:tc>
        <w:tc>
          <w:tcPr>
            <w:tcW w:w="942" w:type="pct"/>
            <w:shd w:val="clear" w:color="auto" w:fill="auto"/>
            <w:noWrap/>
            <w:vAlign w:val="center"/>
          </w:tcPr>
          <w:p w14:paraId="52AA7EEB">
            <w:pPr>
              <w:jc w:val="center"/>
              <w:rPr>
                <w:rFonts w:hint="eastAsia" w:eastAsia="宋体"/>
                <w:sz w:val="18"/>
                <w:szCs w:val="18"/>
                <w:lang w:val="en-US" w:eastAsia="zh-CN"/>
              </w:rPr>
            </w:pPr>
            <w:r>
              <w:rPr>
                <w:rFonts w:hint="eastAsia"/>
                <w:sz w:val="18"/>
                <w:szCs w:val="18"/>
                <w:lang w:val="en-US" w:eastAsia="zh-CN"/>
              </w:rPr>
              <w:t>√</w:t>
            </w:r>
          </w:p>
        </w:tc>
        <w:tc>
          <w:tcPr>
            <w:tcW w:w="1074" w:type="pct"/>
            <w:shd w:val="clear" w:color="auto" w:fill="auto"/>
            <w:noWrap/>
            <w:vAlign w:val="center"/>
          </w:tcPr>
          <w:p w14:paraId="636CE34B">
            <w:pPr>
              <w:jc w:val="center"/>
              <w:rPr>
                <w:sz w:val="18"/>
                <w:szCs w:val="18"/>
              </w:rPr>
            </w:pPr>
            <w:r>
              <w:rPr>
                <w:rFonts w:hint="eastAsia"/>
                <w:sz w:val="18"/>
                <w:szCs w:val="18"/>
                <w:lang w:val="en-US" w:eastAsia="zh-CN"/>
              </w:rPr>
              <w:t>√</w:t>
            </w:r>
          </w:p>
        </w:tc>
        <w:tc>
          <w:tcPr>
            <w:tcW w:w="967" w:type="pct"/>
            <w:shd w:val="clear" w:color="auto" w:fill="auto"/>
            <w:noWrap/>
            <w:vAlign w:val="center"/>
          </w:tcPr>
          <w:p w14:paraId="0CBCFF6F">
            <w:pPr>
              <w:jc w:val="center"/>
              <w:rPr>
                <w:sz w:val="18"/>
                <w:szCs w:val="18"/>
              </w:rPr>
            </w:pPr>
            <w:r>
              <w:rPr>
                <w:rFonts w:hint="eastAsia"/>
                <w:sz w:val="18"/>
                <w:szCs w:val="18"/>
                <w:lang w:val="en-US" w:eastAsia="zh-CN"/>
              </w:rPr>
              <w:t>√</w:t>
            </w:r>
          </w:p>
        </w:tc>
        <w:tc>
          <w:tcPr>
            <w:tcW w:w="1075" w:type="pct"/>
            <w:shd w:val="clear" w:color="auto" w:fill="auto"/>
            <w:noWrap/>
            <w:vAlign w:val="center"/>
          </w:tcPr>
          <w:p w14:paraId="1B40244A">
            <w:pPr>
              <w:jc w:val="center"/>
              <w:rPr>
                <w:sz w:val="18"/>
                <w:szCs w:val="18"/>
              </w:rPr>
            </w:pPr>
            <w:r>
              <w:rPr>
                <w:rFonts w:hint="eastAsia"/>
                <w:sz w:val="18"/>
                <w:szCs w:val="18"/>
                <w:lang w:val="en-US" w:eastAsia="zh-CN"/>
              </w:rPr>
              <w:t>√</w:t>
            </w:r>
          </w:p>
        </w:tc>
      </w:tr>
      <w:tr w14:paraId="4C2A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40" w:type="pct"/>
            <w:shd w:val="clear" w:color="auto" w:fill="auto"/>
            <w:noWrap/>
            <w:vAlign w:val="center"/>
          </w:tcPr>
          <w:p w14:paraId="03D8B00D">
            <w:pPr>
              <w:jc w:val="center"/>
              <w:rPr>
                <w:rFonts w:hint="default" w:eastAsia="宋体"/>
                <w:sz w:val="18"/>
                <w:szCs w:val="18"/>
                <w:lang w:val="en-US" w:eastAsia="zh-CN"/>
              </w:rPr>
            </w:pPr>
            <w:r>
              <w:rPr>
                <w:rFonts w:hint="eastAsia"/>
                <w:sz w:val="18"/>
                <w:szCs w:val="18"/>
                <w:lang w:val="en-US" w:eastAsia="zh-CN"/>
              </w:rPr>
              <w:t>平水年</w:t>
            </w:r>
          </w:p>
        </w:tc>
        <w:tc>
          <w:tcPr>
            <w:tcW w:w="942" w:type="pct"/>
            <w:shd w:val="clear" w:color="auto" w:fill="auto"/>
            <w:noWrap/>
            <w:vAlign w:val="center"/>
          </w:tcPr>
          <w:p w14:paraId="0263DA8A">
            <w:pPr>
              <w:jc w:val="center"/>
              <w:rPr>
                <w:sz w:val="18"/>
                <w:szCs w:val="18"/>
              </w:rPr>
            </w:pPr>
            <w:r>
              <w:rPr>
                <w:rFonts w:hint="eastAsia"/>
                <w:sz w:val="18"/>
                <w:szCs w:val="18"/>
                <w:lang w:val="en-US" w:eastAsia="zh-CN"/>
              </w:rPr>
              <w:t>√</w:t>
            </w:r>
          </w:p>
        </w:tc>
        <w:tc>
          <w:tcPr>
            <w:tcW w:w="1074" w:type="pct"/>
            <w:shd w:val="clear" w:color="auto" w:fill="auto"/>
            <w:noWrap/>
            <w:vAlign w:val="center"/>
          </w:tcPr>
          <w:p w14:paraId="5BBF80AA">
            <w:pPr>
              <w:jc w:val="center"/>
              <w:rPr>
                <w:sz w:val="18"/>
                <w:szCs w:val="18"/>
              </w:rPr>
            </w:pPr>
            <w:r>
              <w:rPr>
                <w:rFonts w:hint="eastAsia"/>
                <w:sz w:val="18"/>
                <w:szCs w:val="18"/>
                <w:lang w:val="en-US" w:eastAsia="zh-CN"/>
              </w:rPr>
              <w:t>√</w:t>
            </w:r>
          </w:p>
        </w:tc>
        <w:tc>
          <w:tcPr>
            <w:tcW w:w="2042" w:type="pct"/>
            <w:gridSpan w:val="2"/>
            <w:shd w:val="clear" w:color="auto" w:fill="auto"/>
            <w:noWrap/>
            <w:vAlign w:val="center"/>
          </w:tcPr>
          <w:p w14:paraId="3EC15B9B">
            <w:pPr>
              <w:jc w:val="center"/>
              <w:rPr>
                <w:rFonts w:hint="eastAsia" w:eastAsia="宋体"/>
                <w:sz w:val="18"/>
                <w:szCs w:val="18"/>
                <w:lang w:val="en-US" w:eastAsia="zh-CN"/>
              </w:rPr>
            </w:pPr>
            <w:r>
              <w:rPr>
                <w:rFonts w:hint="eastAsia"/>
                <w:sz w:val="18"/>
                <w:szCs w:val="18"/>
                <w:lang w:val="en-US" w:eastAsia="zh-CN"/>
              </w:rPr>
              <w:t>√</w:t>
            </w:r>
          </w:p>
        </w:tc>
      </w:tr>
      <w:tr w14:paraId="43FD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0" w:type="pct"/>
            <w:shd w:val="clear" w:color="auto" w:fill="auto"/>
            <w:noWrap/>
            <w:vAlign w:val="center"/>
          </w:tcPr>
          <w:p w14:paraId="5BBFA66C">
            <w:pPr>
              <w:jc w:val="center"/>
              <w:rPr>
                <w:rFonts w:hint="eastAsia" w:eastAsia="宋体"/>
                <w:sz w:val="18"/>
                <w:szCs w:val="18"/>
                <w:lang w:val="en-US" w:eastAsia="zh-CN"/>
              </w:rPr>
            </w:pPr>
            <w:r>
              <w:rPr>
                <w:rFonts w:hint="eastAsia"/>
                <w:sz w:val="18"/>
                <w:szCs w:val="18"/>
                <w:lang w:val="en-US" w:eastAsia="zh-CN"/>
              </w:rPr>
              <w:t>丰水年</w:t>
            </w:r>
          </w:p>
        </w:tc>
        <w:tc>
          <w:tcPr>
            <w:tcW w:w="942" w:type="pct"/>
            <w:shd w:val="clear" w:color="auto" w:fill="auto"/>
            <w:noWrap/>
            <w:vAlign w:val="center"/>
          </w:tcPr>
          <w:p w14:paraId="14E2AA26">
            <w:pPr>
              <w:jc w:val="center"/>
              <w:rPr>
                <w:sz w:val="18"/>
                <w:szCs w:val="18"/>
              </w:rPr>
            </w:pPr>
          </w:p>
        </w:tc>
        <w:tc>
          <w:tcPr>
            <w:tcW w:w="1074" w:type="pct"/>
            <w:shd w:val="clear" w:color="auto" w:fill="auto"/>
            <w:noWrap/>
            <w:vAlign w:val="center"/>
          </w:tcPr>
          <w:p w14:paraId="3BC1EE90">
            <w:pPr>
              <w:jc w:val="center"/>
              <w:rPr>
                <w:sz w:val="18"/>
                <w:szCs w:val="18"/>
              </w:rPr>
            </w:pPr>
            <w:r>
              <w:rPr>
                <w:rFonts w:hint="eastAsia"/>
                <w:sz w:val="18"/>
                <w:szCs w:val="18"/>
                <w:lang w:val="en-US" w:eastAsia="zh-CN"/>
              </w:rPr>
              <w:t>√</w:t>
            </w:r>
          </w:p>
        </w:tc>
        <w:tc>
          <w:tcPr>
            <w:tcW w:w="2042" w:type="pct"/>
            <w:gridSpan w:val="2"/>
            <w:shd w:val="clear" w:color="auto" w:fill="auto"/>
            <w:noWrap/>
            <w:vAlign w:val="center"/>
          </w:tcPr>
          <w:p w14:paraId="1601235D">
            <w:pPr>
              <w:jc w:val="center"/>
              <w:rPr>
                <w:sz w:val="18"/>
                <w:szCs w:val="18"/>
              </w:rPr>
            </w:pPr>
            <w:r>
              <w:rPr>
                <w:rFonts w:hint="eastAsia"/>
                <w:sz w:val="18"/>
                <w:szCs w:val="18"/>
                <w:lang w:val="en-US" w:eastAsia="zh-CN"/>
              </w:rPr>
              <w:t>√</w:t>
            </w:r>
          </w:p>
        </w:tc>
      </w:tr>
    </w:tbl>
    <w:p w14:paraId="3F10FACE">
      <w:pPr>
        <w:pStyle w:val="108"/>
        <w:numPr>
          <w:ilvl w:val="0"/>
          <w:numId w:val="0"/>
        </w:numPr>
        <w:tabs>
          <w:tab w:val="left" w:pos="210"/>
        </w:tabs>
        <w:spacing w:before="156" w:beforeLines="50" w:after="156" w:afterLines="50"/>
        <w:ind w:left="403"/>
        <w:rPr>
          <w:rFonts w:hint="eastAsia"/>
          <w:bCs/>
          <w:color w:val="000000"/>
          <w:szCs w:val="21"/>
        </w:rPr>
      </w:pPr>
      <w:r>
        <w:rPr>
          <w:rFonts w:hint="eastAsia" w:ascii="Times New Roman"/>
          <w:bCs/>
          <w:kern w:val="44"/>
        </w:rPr>
        <w:t>表</w:t>
      </w:r>
      <w:r>
        <w:rPr>
          <w:rFonts w:hint="eastAsia" w:ascii="Times New Roman"/>
          <w:bCs/>
          <w:kern w:val="44"/>
          <w:lang w:val="en-US" w:eastAsia="zh-CN"/>
        </w:rPr>
        <w:t>B</w:t>
      </w:r>
      <w:r>
        <w:rPr>
          <w:rFonts w:hint="eastAsia" w:ascii="Times New Roman"/>
          <w:bCs/>
          <w:kern w:val="44"/>
        </w:rPr>
        <w:t>.2  夏玉米</w:t>
      </w:r>
      <w:r>
        <w:rPr>
          <w:rFonts w:hint="eastAsia" w:ascii="Times New Roman"/>
          <w:bCs/>
          <w:kern w:val="44"/>
          <w:lang w:val="en-US" w:eastAsia="zh-CN"/>
        </w:rPr>
        <w:t>灌溉时段推荐表</w:t>
      </w:r>
      <w:r>
        <w:rPr>
          <w:rFonts w:hint="eastAsia"/>
          <w:bCs/>
          <w:color w:val="000000"/>
          <w:szCs w:val="21"/>
        </w:rPr>
        <w:t xml:space="preserve">  </w:t>
      </w:r>
    </w:p>
    <w:tbl>
      <w:tblPr>
        <w:tblStyle w:val="32"/>
        <w:tblW w:w="41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6"/>
        <w:gridCol w:w="1531"/>
        <w:gridCol w:w="1789"/>
        <w:gridCol w:w="1791"/>
      </w:tblGrid>
      <w:tr w14:paraId="23BD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815" w:type="pct"/>
            <w:shd w:val="clear" w:color="auto" w:fill="auto"/>
            <w:noWrap/>
            <w:vAlign w:val="center"/>
          </w:tcPr>
          <w:p w14:paraId="3D7DF5F6">
            <w:pPr>
              <w:jc w:val="center"/>
              <w:rPr>
                <w:rFonts w:hint="default"/>
                <w:sz w:val="18"/>
                <w:szCs w:val="18"/>
                <w:lang w:val="en-US" w:eastAsia="zh-CN"/>
              </w:rPr>
            </w:pPr>
            <w:r>
              <w:rPr>
                <w:rFonts w:hint="eastAsia"/>
                <w:sz w:val="18"/>
                <w:szCs w:val="18"/>
                <w:lang w:val="en-US" w:eastAsia="zh-CN"/>
              </w:rPr>
              <w:t>喷灌设备类型</w:t>
            </w:r>
          </w:p>
        </w:tc>
        <w:tc>
          <w:tcPr>
            <w:tcW w:w="954" w:type="pct"/>
            <w:shd w:val="clear" w:color="auto" w:fill="auto"/>
            <w:noWrap/>
            <w:vAlign w:val="center"/>
          </w:tcPr>
          <w:p w14:paraId="37749310">
            <w:pPr>
              <w:jc w:val="center"/>
              <w:rPr>
                <w:rFonts w:hint="default" w:eastAsia="宋体"/>
                <w:sz w:val="18"/>
                <w:szCs w:val="18"/>
                <w:lang w:val="en-US" w:eastAsia="zh-CN"/>
              </w:rPr>
            </w:pPr>
            <w:r>
              <w:rPr>
                <w:rFonts w:hint="eastAsia"/>
                <w:sz w:val="18"/>
                <w:szCs w:val="18"/>
                <w:lang w:val="en-US" w:eastAsia="zh-CN"/>
              </w:rPr>
              <w:t>播种后</w:t>
            </w:r>
          </w:p>
        </w:tc>
        <w:tc>
          <w:tcPr>
            <w:tcW w:w="1114" w:type="pct"/>
            <w:shd w:val="clear" w:color="auto" w:fill="auto"/>
            <w:noWrap/>
            <w:vAlign w:val="center"/>
          </w:tcPr>
          <w:p w14:paraId="0BBB6F84">
            <w:pPr>
              <w:jc w:val="center"/>
              <w:rPr>
                <w:rFonts w:hint="default" w:eastAsia="宋体"/>
                <w:sz w:val="18"/>
                <w:szCs w:val="18"/>
                <w:lang w:val="en-US" w:eastAsia="zh-CN"/>
              </w:rPr>
            </w:pPr>
            <w:r>
              <w:rPr>
                <w:rFonts w:hint="eastAsia"/>
                <w:sz w:val="18"/>
                <w:szCs w:val="18"/>
                <w:lang w:val="en-US" w:eastAsia="zh-CN"/>
              </w:rPr>
              <w:t>喇叭口期</w:t>
            </w:r>
          </w:p>
        </w:tc>
        <w:tc>
          <w:tcPr>
            <w:tcW w:w="1115" w:type="pct"/>
            <w:shd w:val="clear" w:color="auto" w:fill="auto"/>
            <w:noWrap/>
            <w:vAlign w:val="center"/>
          </w:tcPr>
          <w:p w14:paraId="418D2C6B">
            <w:pPr>
              <w:jc w:val="center"/>
              <w:rPr>
                <w:rFonts w:hint="default"/>
                <w:sz w:val="18"/>
                <w:szCs w:val="18"/>
                <w:lang w:val="en-US" w:eastAsia="zh-CN"/>
              </w:rPr>
            </w:pPr>
            <w:r>
              <w:rPr>
                <w:rFonts w:hint="eastAsia"/>
                <w:sz w:val="18"/>
                <w:szCs w:val="18"/>
                <w:lang w:val="en-US" w:eastAsia="zh-CN"/>
              </w:rPr>
              <w:t>抽雄吐丝期</w:t>
            </w:r>
          </w:p>
        </w:tc>
      </w:tr>
      <w:tr w14:paraId="7D51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815" w:type="pct"/>
            <w:shd w:val="clear" w:color="auto" w:fill="auto"/>
            <w:noWrap/>
            <w:vAlign w:val="center"/>
          </w:tcPr>
          <w:p w14:paraId="2870913B">
            <w:pPr>
              <w:jc w:val="center"/>
              <w:rPr>
                <w:rFonts w:hint="eastAsia"/>
                <w:sz w:val="18"/>
                <w:szCs w:val="18"/>
                <w:lang w:val="en-US" w:eastAsia="zh-CN"/>
              </w:rPr>
            </w:pPr>
            <w:r>
              <w:rPr>
                <w:rFonts w:hint="eastAsia"/>
                <w:sz w:val="18"/>
                <w:szCs w:val="18"/>
                <w:lang w:val="en-US" w:eastAsia="zh-CN"/>
              </w:rPr>
              <w:t>中心支轴式喷灌机、平移式喷灌机</w:t>
            </w:r>
          </w:p>
        </w:tc>
        <w:tc>
          <w:tcPr>
            <w:tcW w:w="954" w:type="pct"/>
            <w:shd w:val="clear" w:color="auto" w:fill="auto"/>
            <w:noWrap/>
            <w:vAlign w:val="center"/>
          </w:tcPr>
          <w:p w14:paraId="5BE22DA8">
            <w:pPr>
              <w:jc w:val="center"/>
              <w:rPr>
                <w:rFonts w:hint="eastAsia" w:eastAsia="宋体"/>
                <w:sz w:val="18"/>
                <w:szCs w:val="18"/>
                <w:lang w:val="en-US" w:eastAsia="zh-CN"/>
              </w:rPr>
            </w:pPr>
            <w:r>
              <w:rPr>
                <w:rFonts w:hint="eastAsia"/>
                <w:sz w:val="18"/>
                <w:szCs w:val="18"/>
                <w:lang w:val="en-US" w:eastAsia="zh-CN"/>
              </w:rPr>
              <w:t>√</w:t>
            </w:r>
          </w:p>
        </w:tc>
        <w:tc>
          <w:tcPr>
            <w:tcW w:w="1114" w:type="pct"/>
            <w:shd w:val="clear" w:color="auto" w:fill="auto"/>
            <w:noWrap/>
            <w:vAlign w:val="center"/>
          </w:tcPr>
          <w:p w14:paraId="066D2BE9">
            <w:pPr>
              <w:jc w:val="center"/>
              <w:rPr>
                <w:sz w:val="18"/>
                <w:szCs w:val="18"/>
              </w:rPr>
            </w:pPr>
            <w:r>
              <w:rPr>
                <w:rFonts w:hint="eastAsia"/>
                <w:sz w:val="18"/>
                <w:szCs w:val="18"/>
                <w:lang w:val="en-US" w:eastAsia="zh-CN"/>
              </w:rPr>
              <w:t>√</w:t>
            </w:r>
          </w:p>
        </w:tc>
        <w:tc>
          <w:tcPr>
            <w:tcW w:w="1115" w:type="pct"/>
            <w:shd w:val="clear" w:color="auto" w:fill="auto"/>
            <w:noWrap/>
            <w:vAlign w:val="center"/>
          </w:tcPr>
          <w:p w14:paraId="5B11D544">
            <w:pPr>
              <w:jc w:val="center"/>
              <w:rPr>
                <w:rFonts w:hint="default"/>
                <w:sz w:val="18"/>
                <w:szCs w:val="18"/>
                <w:lang w:val="en-US" w:eastAsia="zh-CN"/>
              </w:rPr>
            </w:pPr>
            <w:r>
              <w:rPr>
                <w:rFonts w:hint="eastAsia"/>
                <w:sz w:val="18"/>
                <w:szCs w:val="18"/>
                <w:lang w:val="en-US" w:eastAsia="zh-CN"/>
              </w:rPr>
              <w:t>√</w:t>
            </w:r>
          </w:p>
        </w:tc>
      </w:tr>
      <w:tr w14:paraId="494E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815" w:type="pct"/>
            <w:shd w:val="clear" w:color="auto" w:fill="auto"/>
            <w:noWrap/>
            <w:vAlign w:val="center"/>
          </w:tcPr>
          <w:p w14:paraId="34C95305">
            <w:pPr>
              <w:jc w:val="center"/>
              <w:rPr>
                <w:rFonts w:hint="eastAsia"/>
                <w:sz w:val="18"/>
                <w:szCs w:val="18"/>
                <w:lang w:val="en-US" w:eastAsia="zh-CN"/>
              </w:rPr>
            </w:pPr>
            <w:r>
              <w:rPr>
                <w:rFonts w:hint="eastAsia"/>
                <w:sz w:val="18"/>
                <w:szCs w:val="18"/>
                <w:lang w:val="en-US" w:eastAsia="zh-CN"/>
              </w:rPr>
              <w:t>固定或半固定式管道喷灌</w:t>
            </w:r>
          </w:p>
        </w:tc>
        <w:tc>
          <w:tcPr>
            <w:tcW w:w="954" w:type="pct"/>
            <w:shd w:val="clear" w:color="auto" w:fill="auto"/>
            <w:noWrap/>
            <w:vAlign w:val="center"/>
          </w:tcPr>
          <w:p w14:paraId="47837593">
            <w:pPr>
              <w:jc w:val="center"/>
              <w:rPr>
                <w:rFonts w:hint="eastAsia" w:eastAsia="宋体"/>
                <w:sz w:val="18"/>
                <w:szCs w:val="18"/>
                <w:lang w:val="en-US" w:eastAsia="zh-CN"/>
              </w:rPr>
            </w:pPr>
            <w:r>
              <w:rPr>
                <w:rFonts w:hint="eastAsia"/>
                <w:sz w:val="18"/>
                <w:szCs w:val="18"/>
                <w:lang w:val="en-US" w:eastAsia="zh-CN"/>
              </w:rPr>
              <w:t>√</w:t>
            </w:r>
          </w:p>
        </w:tc>
        <w:tc>
          <w:tcPr>
            <w:tcW w:w="1114" w:type="pct"/>
            <w:shd w:val="clear" w:color="auto" w:fill="auto"/>
            <w:noWrap/>
            <w:vAlign w:val="center"/>
          </w:tcPr>
          <w:p w14:paraId="30B5814C">
            <w:pPr>
              <w:jc w:val="center"/>
              <w:rPr>
                <w:sz w:val="18"/>
                <w:szCs w:val="18"/>
              </w:rPr>
            </w:pPr>
            <w:r>
              <w:rPr>
                <w:rFonts w:hint="eastAsia"/>
                <w:sz w:val="18"/>
                <w:szCs w:val="18"/>
                <w:lang w:val="en-US" w:eastAsia="zh-CN"/>
              </w:rPr>
              <w:t>√</w:t>
            </w:r>
          </w:p>
        </w:tc>
        <w:tc>
          <w:tcPr>
            <w:tcW w:w="1115" w:type="pct"/>
            <w:shd w:val="clear" w:color="auto" w:fill="auto"/>
            <w:noWrap/>
            <w:vAlign w:val="center"/>
          </w:tcPr>
          <w:p w14:paraId="505C4D4E">
            <w:pPr>
              <w:jc w:val="center"/>
              <w:rPr>
                <w:rFonts w:hint="default"/>
                <w:sz w:val="18"/>
                <w:szCs w:val="18"/>
                <w:lang w:val="en-US" w:eastAsia="zh-CN"/>
              </w:rPr>
            </w:pPr>
          </w:p>
        </w:tc>
      </w:tr>
    </w:tbl>
    <w:p w14:paraId="34363710">
      <w:pPr>
        <w:pStyle w:val="108"/>
        <w:numPr>
          <w:ilvl w:val="0"/>
          <w:numId w:val="0"/>
        </w:numPr>
        <w:tabs>
          <w:tab w:val="left" w:pos="210"/>
        </w:tabs>
        <w:spacing w:before="156" w:beforeLines="50" w:after="156" w:afterLines="50"/>
        <w:ind w:left="403"/>
      </w:pPr>
      <w:r>
        <w:rPr>
          <w:rFonts w:hint="eastAsia"/>
          <w:bCs/>
          <w:color w:val="000000"/>
          <w:szCs w:val="21"/>
        </w:rPr>
        <w:t xml:space="preserve"> </w:t>
      </w:r>
    </w:p>
    <w:p w14:paraId="677A9FBC">
      <w:pPr>
        <w:keepNext/>
        <w:keepLines/>
        <w:pageBreakBefore/>
        <w:spacing w:before="156" w:beforeLines="50"/>
        <w:jc w:val="center"/>
        <w:outlineLvl w:val="0"/>
        <w:rPr>
          <w:rFonts w:hint="eastAsia" w:eastAsia="黑体"/>
          <w:b/>
          <w:kern w:val="44"/>
          <w:szCs w:val="20"/>
          <w:lang w:val="en-US" w:eastAsia="zh-CN"/>
        </w:rPr>
      </w:pPr>
      <w:bookmarkStart w:id="105" w:name="_Toc21656"/>
      <w:r>
        <w:rPr>
          <w:rFonts w:eastAsia="黑体"/>
          <w:b/>
          <w:kern w:val="44"/>
          <w:szCs w:val="20"/>
        </w:rPr>
        <w:t>附录</w:t>
      </w:r>
      <w:bookmarkEnd w:id="91"/>
      <w:r>
        <w:rPr>
          <w:rFonts w:hint="eastAsia" w:eastAsia="黑体"/>
          <w:b/>
          <w:kern w:val="44"/>
          <w:szCs w:val="20"/>
          <w:lang w:val="en-US" w:eastAsia="zh-CN"/>
        </w:rPr>
        <w:t>C</w:t>
      </w:r>
      <w:bookmarkEnd w:id="105"/>
    </w:p>
    <w:p w14:paraId="664EEE99">
      <w:pPr>
        <w:keepNext/>
        <w:keepLines/>
        <w:spacing w:before="156" w:beforeLines="50" w:after="156" w:afterLines="50"/>
        <w:jc w:val="center"/>
        <w:outlineLvl w:val="0"/>
        <w:rPr>
          <w:rFonts w:eastAsia="黑体"/>
          <w:bCs/>
          <w:kern w:val="44"/>
          <w:szCs w:val="20"/>
        </w:rPr>
      </w:pPr>
      <w:bookmarkStart w:id="106" w:name="_Toc7151"/>
      <w:bookmarkStart w:id="107" w:name="_Toc235478404"/>
      <w:bookmarkStart w:id="108" w:name="_Toc15010"/>
      <w:bookmarkStart w:id="109" w:name="_Toc6186"/>
      <w:bookmarkStart w:id="110" w:name="_Toc28450"/>
      <w:r>
        <w:rPr>
          <w:rFonts w:eastAsia="黑体"/>
          <w:bCs/>
          <w:kern w:val="44"/>
          <w:szCs w:val="20"/>
        </w:rPr>
        <w:t>（资料性）</w:t>
      </w:r>
      <w:bookmarkEnd w:id="106"/>
      <w:bookmarkEnd w:id="107"/>
      <w:bookmarkEnd w:id="108"/>
      <w:bookmarkEnd w:id="109"/>
      <w:bookmarkEnd w:id="110"/>
    </w:p>
    <w:p w14:paraId="7D2454B8">
      <w:pPr>
        <w:keepNext/>
        <w:keepLines/>
        <w:spacing w:before="156" w:beforeLines="50" w:after="156" w:afterLines="50"/>
        <w:jc w:val="center"/>
        <w:outlineLvl w:val="0"/>
        <w:rPr>
          <w:rFonts w:eastAsia="黑体"/>
          <w:bCs/>
          <w:kern w:val="44"/>
          <w:szCs w:val="20"/>
        </w:rPr>
      </w:pPr>
      <w:r>
        <w:rPr>
          <w:rFonts w:hint="eastAsia" w:eastAsia="黑体"/>
          <w:bCs/>
          <w:kern w:val="44"/>
          <w:szCs w:val="20"/>
        </w:rPr>
        <w:t xml:space="preserve"> </w:t>
      </w:r>
      <w:bookmarkStart w:id="111" w:name="_Toc8595"/>
      <w:bookmarkStart w:id="112" w:name="_Toc235478405"/>
      <w:r>
        <w:rPr>
          <w:rFonts w:hint="eastAsia" w:eastAsia="黑体"/>
          <w:bCs/>
          <w:kern w:val="44"/>
          <w:szCs w:val="20"/>
        </w:rPr>
        <w:t>土壤中微量元素丰缺等级</w:t>
      </w:r>
      <w:r>
        <w:rPr>
          <w:rFonts w:hint="eastAsia" w:eastAsia="黑体"/>
          <w:bCs/>
          <w:kern w:val="44"/>
          <w:szCs w:val="20"/>
          <w:lang w:val="en-US" w:eastAsia="zh-CN"/>
        </w:rPr>
        <w:t>推荐</w:t>
      </w:r>
      <w:r>
        <w:rPr>
          <w:rFonts w:hint="eastAsia" w:eastAsia="黑体"/>
          <w:bCs/>
          <w:kern w:val="44"/>
          <w:szCs w:val="20"/>
        </w:rPr>
        <w:t>表</w:t>
      </w:r>
      <w:bookmarkEnd w:id="111"/>
      <w:bookmarkEnd w:id="112"/>
    </w:p>
    <w:p w14:paraId="75D321AF">
      <w:pPr>
        <w:widowControl/>
        <w:ind w:firstLine="420" w:firstLineChars="200"/>
        <w:jc w:val="left"/>
        <w:rPr>
          <w:szCs w:val="21"/>
        </w:rPr>
      </w:pPr>
      <w:r>
        <w:rPr>
          <w:szCs w:val="21"/>
        </w:rPr>
        <w:t>表</w:t>
      </w:r>
      <w:r>
        <w:rPr>
          <w:rFonts w:hint="eastAsia"/>
          <w:szCs w:val="21"/>
          <w:lang w:val="en-US" w:eastAsia="zh-CN"/>
        </w:rPr>
        <w:t>C</w:t>
      </w:r>
      <w:r>
        <w:rPr>
          <w:szCs w:val="21"/>
        </w:rPr>
        <w:t>.1</w:t>
      </w:r>
      <w:r>
        <w:rPr>
          <w:rFonts w:hint="eastAsia"/>
          <w:szCs w:val="21"/>
        </w:rPr>
        <w:t>给出</w:t>
      </w:r>
      <w:r>
        <w:rPr>
          <w:szCs w:val="21"/>
        </w:rPr>
        <w:t>了</w:t>
      </w:r>
      <w:r>
        <w:rPr>
          <w:rFonts w:hint="eastAsia"/>
          <w:szCs w:val="21"/>
        </w:rPr>
        <w:t>土壤中微量元素的丰缺等级判定</w:t>
      </w:r>
      <w:r>
        <w:rPr>
          <w:rFonts w:hint="eastAsia"/>
          <w:szCs w:val="21"/>
          <w:lang w:val="en-US" w:eastAsia="zh-CN"/>
        </w:rPr>
        <w:t>指标参数</w:t>
      </w:r>
      <w:r>
        <w:rPr>
          <w:szCs w:val="21"/>
        </w:rPr>
        <w:t>。</w:t>
      </w:r>
    </w:p>
    <w:p w14:paraId="3FC026BE">
      <w:pPr>
        <w:pStyle w:val="108"/>
        <w:numPr>
          <w:ilvl w:val="0"/>
          <w:numId w:val="0"/>
        </w:numPr>
        <w:tabs>
          <w:tab w:val="left" w:pos="210"/>
        </w:tabs>
        <w:spacing w:before="156" w:beforeLines="50" w:after="156" w:afterLines="50"/>
        <w:ind w:left="403"/>
        <w:jc w:val="right"/>
        <w:rPr>
          <w:rFonts w:ascii="Times New Roman"/>
          <w:bCs/>
          <w:kern w:val="44"/>
        </w:rPr>
      </w:pPr>
      <w:r>
        <w:rPr>
          <w:rFonts w:hint="eastAsia" w:ascii="Times New Roman"/>
          <w:bCs/>
          <w:kern w:val="44"/>
        </w:rPr>
        <w:t>表</w:t>
      </w:r>
      <w:r>
        <w:rPr>
          <w:rFonts w:hint="eastAsia" w:ascii="Times New Roman"/>
          <w:bCs/>
          <w:kern w:val="44"/>
          <w:lang w:val="en-US" w:eastAsia="zh-CN"/>
        </w:rPr>
        <w:t>C</w:t>
      </w:r>
      <w:r>
        <w:rPr>
          <w:rFonts w:hint="eastAsia" w:ascii="Times New Roman"/>
          <w:bCs/>
          <w:kern w:val="44"/>
        </w:rPr>
        <w:t>.1  土壤中微量元素丰缺等级</w:t>
      </w:r>
      <w:r>
        <w:rPr>
          <w:rFonts w:hint="eastAsia" w:ascii="Times New Roman"/>
          <w:bCs/>
          <w:kern w:val="44"/>
          <w:lang w:val="en-US" w:eastAsia="zh-CN"/>
        </w:rPr>
        <w:t>推荐</w:t>
      </w:r>
      <w:r>
        <w:rPr>
          <w:rFonts w:hint="eastAsia" w:ascii="Times New Roman"/>
          <w:bCs/>
          <w:kern w:val="44"/>
        </w:rPr>
        <w:t>表                              单位：mg/kg</w:t>
      </w:r>
    </w:p>
    <w:tbl>
      <w:tblPr>
        <w:tblStyle w:val="3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
        <w:gridCol w:w="1516"/>
        <w:gridCol w:w="1728"/>
        <w:gridCol w:w="1556"/>
        <w:gridCol w:w="1728"/>
        <w:gridCol w:w="1518"/>
      </w:tblGrid>
      <w:tr w14:paraId="6416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92" w:type="pct"/>
            <w:shd w:val="clear" w:color="auto" w:fill="auto"/>
            <w:noWrap/>
            <w:vAlign w:val="center"/>
          </w:tcPr>
          <w:p w14:paraId="499B1DB7">
            <w:pPr>
              <w:jc w:val="center"/>
              <w:rPr>
                <w:rFonts w:eastAsia="黑体"/>
                <w:bCs/>
                <w:kern w:val="44"/>
                <w:szCs w:val="20"/>
              </w:rPr>
            </w:pPr>
            <w:bookmarkStart w:id="113" w:name="_Toc2324"/>
            <w:bookmarkStart w:id="114" w:name="_Toc14751"/>
            <w:bookmarkStart w:id="115" w:name="_Toc23489"/>
            <w:r>
              <w:rPr>
                <w:rFonts w:hint="eastAsia"/>
                <w:sz w:val="18"/>
                <w:szCs w:val="18"/>
              </w:rPr>
              <w:t>微量元素</w:t>
            </w:r>
          </w:p>
        </w:tc>
        <w:tc>
          <w:tcPr>
            <w:tcW w:w="792" w:type="pct"/>
            <w:shd w:val="clear" w:color="auto" w:fill="auto"/>
            <w:noWrap/>
            <w:vAlign w:val="center"/>
          </w:tcPr>
          <w:p w14:paraId="5ECFD563">
            <w:pPr>
              <w:jc w:val="center"/>
              <w:rPr>
                <w:sz w:val="18"/>
                <w:szCs w:val="18"/>
              </w:rPr>
            </w:pPr>
            <w:r>
              <w:rPr>
                <w:rFonts w:hint="eastAsia"/>
                <w:sz w:val="18"/>
                <w:szCs w:val="18"/>
              </w:rPr>
              <w:t>很缺</w:t>
            </w:r>
          </w:p>
        </w:tc>
        <w:tc>
          <w:tcPr>
            <w:tcW w:w="903" w:type="pct"/>
            <w:shd w:val="clear" w:color="auto" w:fill="auto"/>
            <w:noWrap/>
            <w:vAlign w:val="center"/>
          </w:tcPr>
          <w:p w14:paraId="663A23FC">
            <w:pPr>
              <w:jc w:val="center"/>
              <w:rPr>
                <w:sz w:val="18"/>
                <w:szCs w:val="18"/>
              </w:rPr>
            </w:pPr>
            <w:r>
              <w:rPr>
                <w:rFonts w:hint="eastAsia"/>
                <w:sz w:val="18"/>
                <w:szCs w:val="18"/>
              </w:rPr>
              <w:t>缺</w:t>
            </w:r>
          </w:p>
        </w:tc>
        <w:tc>
          <w:tcPr>
            <w:tcW w:w="813" w:type="pct"/>
            <w:shd w:val="clear" w:color="auto" w:fill="auto"/>
            <w:noWrap/>
            <w:vAlign w:val="center"/>
          </w:tcPr>
          <w:p w14:paraId="5F835F66">
            <w:pPr>
              <w:jc w:val="center"/>
              <w:rPr>
                <w:sz w:val="18"/>
                <w:szCs w:val="18"/>
              </w:rPr>
            </w:pPr>
            <w:r>
              <w:rPr>
                <w:rFonts w:hint="eastAsia"/>
                <w:sz w:val="18"/>
                <w:szCs w:val="18"/>
              </w:rPr>
              <w:t>适中</w:t>
            </w:r>
          </w:p>
        </w:tc>
        <w:tc>
          <w:tcPr>
            <w:tcW w:w="903" w:type="pct"/>
            <w:shd w:val="clear" w:color="auto" w:fill="auto"/>
            <w:noWrap/>
            <w:vAlign w:val="center"/>
          </w:tcPr>
          <w:p w14:paraId="4DEFB8A0">
            <w:pPr>
              <w:jc w:val="center"/>
              <w:rPr>
                <w:sz w:val="18"/>
                <w:szCs w:val="18"/>
              </w:rPr>
            </w:pPr>
            <w:r>
              <w:rPr>
                <w:rFonts w:hint="eastAsia"/>
                <w:sz w:val="18"/>
                <w:szCs w:val="18"/>
              </w:rPr>
              <w:t>丰富</w:t>
            </w:r>
          </w:p>
        </w:tc>
        <w:tc>
          <w:tcPr>
            <w:tcW w:w="793" w:type="pct"/>
            <w:shd w:val="clear" w:color="auto" w:fill="auto"/>
            <w:noWrap/>
            <w:vAlign w:val="center"/>
          </w:tcPr>
          <w:p w14:paraId="008AB389">
            <w:pPr>
              <w:jc w:val="center"/>
              <w:rPr>
                <w:sz w:val="18"/>
                <w:szCs w:val="18"/>
              </w:rPr>
            </w:pPr>
            <w:r>
              <w:rPr>
                <w:rFonts w:hint="eastAsia"/>
                <w:sz w:val="18"/>
                <w:szCs w:val="18"/>
              </w:rPr>
              <w:t>很丰富</w:t>
            </w:r>
          </w:p>
        </w:tc>
      </w:tr>
      <w:tr w14:paraId="59FC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92" w:type="pct"/>
            <w:shd w:val="clear" w:color="auto" w:fill="auto"/>
            <w:noWrap/>
            <w:vAlign w:val="center"/>
          </w:tcPr>
          <w:p w14:paraId="45BBB3C4">
            <w:pPr>
              <w:jc w:val="center"/>
              <w:rPr>
                <w:sz w:val="18"/>
                <w:szCs w:val="18"/>
              </w:rPr>
            </w:pPr>
            <w:r>
              <w:rPr>
                <w:rFonts w:hint="eastAsia"/>
                <w:sz w:val="18"/>
                <w:szCs w:val="18"/>
              </w:rPr>
              <w:t>铜</w:t>
            </w:r>
          </w:p>
        </w:tc>
        <w:tc>
          <w:tcPr>
            <w:tcW w:w="792" w:type="pct"/>
            <w:shd w:val="clear" w:color="auto" w:fill="auto"/>
            <w:noWrap/>
            <w:vAlign w:val="center"/>
          </w:tcPr>
          <w:p w14:paraId="4CEC3F5E">
            <w:pPr>
              <w:jc w:val="center"/>
              <w:rPr>
                <w:sz w:val="18"/>
                <w:szCs w:val="18"/>
              </w:rPr>
            </w:pPr>
            <w:r>
              <w:rPr>
                <w:rFonts w:hint="eastAsia"/>
                <w:sz w:val="18"/>
                <w:szCs w:val="18"/>
              </w:rPr>
              <w:t>&lt;0.1</w:t>
            </w:r>
          </w:p>
        </w:tc>
        <w:tc>
          <w:tcPr>
            <w:tcW w:w="903" w:type="pct"/>
            <w:shd w:val="clear" w:color="auto" w:fill="auto"/>
            <w:noWrap/>
            <w:vAlign w:val="center"/>
          </w:tcPr>
          <w:p w14:paraId="1E47D8D6">
            <w:pPr>
              <w:jc w:val="center"/>
              <w:rPr>
                <w:sz w:val="18"/>
                <w:szCs w:val="18"/>
              </w:rPr>
            </w:pPr>
            <w:r>
              <w:rPr>
                <w:rFonts w:hint="eastAsia"/>
                <w:sz w:val="18"/>
                <w:szCs w:val="18"/>
              </w:rPr>
              <w:t>0.1~0.2</w:t>
            </w:r>
          </w:p>
        </w:tc>
        <w:tc>
          <w:tcPr>
            <w:tcW w:w="813" w:type="pct"/>
            <w:shd w:val="clear" w:color="auto" w:fill="auto"/>
            <w:noWrap/>
            <w:vAlign w:val="center"/>
          </w:tcPr>
          <w:p w14:paraId="45563B7F">
            <w:pPr>
              <w:jc w:val="center"/>
              <w:rPr>
                <w:sz w:val="18"/>
                <w:szCs w:val="18"/>
              </w:rPr>
            </w:pPr>
            <w:r>
              <w:rPr>
                <w:rFonts w:hint="eastAsia"/>
                <w:sz w:val="18"/>
                <w:szCs w:val="18"/>
              </w:rPr>
              <w:t>0.2~1.0</w:t>
            </w:r>
          </w:p>
        </w:tc>
        <w:tc>
          <w:tcPr>
            <w:tcW w:w="903" w:type="pct"/>
            <w:shd w:val="clear" w:color="auto" w:fill="auto"/>
            <w:noWrap/>
            <w:vAlign w:val="center"/>
          </w:tcPr>
          <w:p w14:paraId="183541FE">
            <w:pPr>
              <w:jc w:val="center"/>
              <w:rPr>
                <w:sz w:val="18"/>
                <w:szCs w:val="18"/>
              </w:rPr>
            </w:pPr>
            <w:r>
              <w:rPr>
                <w:rFonts w:hint="eastAsia"/>
                <w:sz w:val="18"/>
                <w:szCs w:val="18"/>
              </w:rPr>
              <w:t>1.0~1.8</w:t>
            </w:r>
          </w:p>
        </w:tc>
        <w:tc>
          <w:tcPr>
            <w:tcW w:w="793" w:type="pct"/>
            <w:shd w:val="clear" w:color="auto" w:fill="auto"/>
            <w:noWrap/>
            <w:vAlign w:val="center"/>
          </w:tcPr>
          <w:p w14:paraId="4E31725B">
            <w:pPr>
              <w:jc w:val="center"/>
              <w:rPr>
                <w:sz w:val="18"/>
                <w:szCs w:val="18"/>
              </w:rPr>
            </w:pPr>
            <w:r>
              <w:rPr>
                <w:rFonts w:hint="eastAsia"/>
                <w:sz w:val="18"/>
                <w:szCs w:val="18"/>
              </w:rPr>
              <w:t>&gt;1.8</w:t>
            </w:r>
          </w:p>
        </w:tc>
      </w:tr>
      <w:tr w14:paraId="04C1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92" w:type="pct"/>
            <w:shd w:val="clear" w:color="auto" w:fill="auto"/>
            <w:noWrap/>
            <w:vAlign w:val="center"/>
          </w:tcPr>
          <w:p w14:paraId="58EA77EE">
            <w:pPr>
              <w:jc w:val="center"/>
              <w:rPr>
                <w:sz w:val="18"/>
                <w:szCs w:val="18"/>
              </w:rPr>
            </w:pPr>
            <w:r>
              <w:rPr>
                <w:rFonts w:hint="eastAsia"/>
                <w:sz w:val="18"/>
                <w:szCs w:val="18"/>
              </w:rPr>
              <w:t>铁</w:t>
            </w:r>
          </w:p>
        </w:tc>
        <w:tc>
          <w:tcPr>
            <w:tcW w:w="792" w:type="pct"/>
            <w:shd w:val="clear" w:color="auto" w:fill="auto"/>
            <w:noWrap/>
            <w:vAlign w:val="center"/>
          </w:tcPr>
          <w:p w14:paraId="3607BF00">
            <w:pPr>
              <w:jc w:val="center"/>
              <w:rPr>
                <w:sz w:val="18"/>
                <w:szCs w:val="18"/>
              </w:rPr>
            </w:pPr>
            <w:r>
              <w:rPr>
                <w:rFonts w:hint="eastAsia"/>
                <w:sz w:val="18"/>
                <w:szCs w:val="18"/>
              </w:rPr>
              <w:t>&lt;2.5</w:t>
            </w:r>
          </w:p>
        </w:tc>
        <w:tc>
          <w:tcPr>
            <w:tcW w:w="903" w:type="pct"/>
            <w:shd w:val="clear" w:color="auto" w:fill="auto"/>
            <w:noWrap/>
            <w:vAlign w:val="center"/>
          </w:tcPr>
          <w:p w14:paraId="62373F29">
            <w:pPr>
              <w:jc w:val="center"/>
              <w:rPr>
                <w:sz w:val="18"/>
                <w:szCs w:val="18"/>
              </w:rPr>
            </w:pPr>
            <w:r>
              <w:rPr>
                <w:rFonts w:hint="eastAsia"/>
                <w:sz w:val="18"/>
                <w:szCs w:val="18"/>
              </w:rPr>
              <w:t>2.5~5.0</w:t>
            </w:r>
          </w:p>
        </w:tc>
        <w:tc>
          <w:tcPr>
            <w:tcW w:w="813" w:type="pct"/>
            <w:shd w:val="clear" w:color="auto" w:fill="auto"/>
            <w:noWrap/>
            <w:vAlign w:val="center"/>
          </w:tcPr>
          <w:p w14:paraId="7C7EF1C4">
            <w:pPr>
              <w:jc w:val="center"/>
              <w:rPr>
                <w:sz w:val="18"/>
                <w:szCs w:val="18"/>
              </w:rPr>
            </w:pPr>
            <w:r>
              <w:rPr>
                <w:rFonts w:hint="eastAsia"/>
                <w:sz w:val="18"/>
                <w:szCs w:val="18"/>
              </w:rPr>
              <w:t>—</w:t>
            </w:r>
          </w:p>
        </w:tc>
        <w:tc>
          <w:tcPr>
            <w:tcW w:w="903" w:type="pct"/>
            <w:shd w:val="clear" w:color="auto" w:fill="auto"/>
            <w:noWrap/>
            <w:vAlign w:val="center"/>
          </w:tcPr>
          <w:p w14:paraId="2D0DDF4B">
            <w:pPr>
              <w:jc w:val="center"/>
              <w:rPr>
                <w:sz w:val="18"/>
                <w:szCs w:val="18"/>
              </w:rPr>
            </w:pPr>
            <w:r>
              <w:rPr>
                <w:rFonts w:hint="eastAsia"/>
                <w:sz w:val="18"/>
                <w:szCs w:val="18"/>
              </w:rPr>
              <w:t>5.0~10.0</w:t>
            </w:r>
          </w:p>
        </w:tc>
        <w:tc>
          <w:tcPr>
            <w:tcW w:w="793" w:type="pct"/>
            <w:shd w:val="clear" w:color="auto" w:fill="auto"/>
            <w:noWrap/>
            <w:vAlign w:val="center"/>
          </w:tcPr>
          <w:p w14:paraId="083C1A17">
            <w:pPr>
              <w:jc w:val="center"/>
              <w:rPr>
                <w:sz w:val="18"/>
                <w:szCs w:val="18"/>
              </w:rPr>
            </w:pPr>
            <w:r>
              <w:rPr>
                <w:rFonts w:hint="eastAsia"/>
                <w:sz w:val="18"/>
                <w:szCs w:val="18"/>
              </w:rPr>
              <w:t>&gt;10.0</w:t>
            </w:r>
          </w:p>
        </w:tc>
      </w:tr>
      <w:tr w14:paraId="10D1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2" w:type="pct"/>
            <w:shd w:val="clear" w:color="auto" w:fill="auto"/>
            <w:noWrap/>
            <w:vAlign w:val="center"/>
          </w:tcPr>
          <w:p w14:paraId="10B14627">
            <w:pPr>
              <w:jc w:val="center"/>
              <w:rPr>
                <w:sz w:val="18"/>
                <w:szCs w:val="18"/>
              </w:rPr>
            </w:pPr>
            <w:r>
              <w:rPr>
                <w:rFonts w:hint="eastAsia"/>
                <w:sz w:val="18"/>
                <w:szCs w:val="18"/>
              </w:rPr>
              <w:t>锰</w:t>
            </w:r>
          </w:p>
        </w:tc>
        <w:tc>
          <w:tcPr>
            <w:tcW w:w="792" w:type="pct"/>
            <w:shd w:val="clear" w:color="auto" w:fill="auto"/>
            <w:noWrap/>
            <w:vAlign w:val="center"/>
          </w:tcPr>
          <w:p w14:paraId="7BDCEE07">
            <w:pPr>
              <w:jc w:val="center"/>
              <w:rPr>
                <w:sz w:val="18"/>
                <w:szCs w:val="18"/>
              </w:rPr>
            </w:pPr>
            <w:r>
              <w:rPr>
                <w:rFonts w:hint="eastAsia"/>
                <w:sz w:val="18"/>
                <w:szCs w:val="18"/>
              </w:rPr>
              <w:t>&lt;3.0</w:t>
            </w:r>
          </w:p>
        </w:tc>
        <w:tc>
          <w:tcPr>
            <w:tcW w:w="903" w:type="pct"/>
            <w:shd w:val="clear" w:color="auto" w:fill="auto"/>
            <w:noWrap/>
            <w:vAlign w:val="center"/>
          </w:tcPr>
          <w:p w14:paraId="65A474A8">
            <w:pPr>
              <w:jc w:val="center"/>
              <w:rPr>
                <w:sz w:val="18"/>
                <w:szCs w:val="18"/>
              </w:rPr>
            </w:pPr>
            <w:r>
              <w:rPr>
                <w:rFonts w:hint="eastAsia"/>
                <w:sz w:val="18"/>
                <w:szCs w:val="18"/>
              </w:rPr>
              <w:t>3.0~5.0</w:t>
            </w:r>
          </w:p>
        </w:tc>
        <w:tc>
          <w:tcPr>
            <w:tcW w:w="813" w:type="pct"/>
            <w:shd w:val="clear" w:color="auto" w:fill="auto"/>
            <w:noWrap/>
            <w:vAlign w:val="center"/>
          </w:tcPr>
          <w:p w14:paraId="711C4372">
            <w:pPr>
              <w:jc w:val="center"/>
              <w:rPr>
                <w:sz w:val="18"/>
                <w:szCs w:val="18"/>
              </w:rPr>
            </w:pPr>
            <w:r>
              <w:rPr>
                <w:rFonts w:hint="eastAsia"/>
                <w:sz w:val="18"/>
                <w:szCs w:val="18"/>
              </w:rPr>
              <w:t>5.0~10.0</w:t>
            </w:r>
          </w:p>
        </w:tc>
        <w:tc>
          <w:tcPr>
            <w:tcW w:w="903" w:type="pct"/>
            <w:shd w:val="clear" w:color="auto" w:fill="auto"/>
            <w:noWrap/>
            <w:vAlign w:val="center"/>
          </w:tcPr>
          <w:p w14:paraId="64545443">
            <w:pPr>
              <w:jc w:val="center"/>
              <w:rPr>
                <w:sz w:val="18"/>
                <w:szCs w:val="18"/>
              </w:rPr>
            </w:pPr>
            <w:r>
              <w:rPr>
                <w:rFonts w:hint="eastAsia"/>
                <w:sz w:val="18"/>
                <w:szCs w:val="18"/>
              </w:rPr>
              <w:t>10.0~15.0</w:t>
            </w:r>
          </w:p>
        </w:tc>
        <w:tc>
          <w:tcPr>
            <w:tcW w:w="793" w:type="pct"/>
            <w:shd w:val="clear" w:color="auto" w:fill="auto"/>
            <w:noWrap/>
            <w:vAlign w:val="center"/>
          </w:tcPr>
          <w:p w14:paraId="12318541">
            <w:pPr>
              <w:jc w:val="center"/>
              <w:rPr>
                <w:sz w:val="18"/>
                <w:szCs w:val="18"/>
              </w:rPr>
            </w:pPr>
            <w:r>
              <w:rPr>
                <w:rFonts w:hint="eastAsia"/>
                <w:sz w:val="18"/>
                <w:szCs w:val="18"/>
              </w:rPr>
              <w:t>&gt;15.0</w:t>
            </w:r>
          </w:p>
        </w:tc>
      </w:tr>
      <w:tr w14:paraId="45CE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92" w:type="pct"/>
            <w:shd w:val="clear" w:color="auto" w:fill="auto"/>
            <w:noWrap/>
            <w:vAlign w:val="center"/>
          </w:tcPr>
          <w:p w14:paraId="5B93CC91">
            <w:pPr>
              <w:jc w:val="center"/>
              <w:rPr>
                <w:sz w:val="18"/>
                <w:szCs w:val="18"/>
              </w:rPr>
            </w:pPr>
            <w:r>
              <w:rPr>
                <w:rFonts w:hint="eastAsia"/>
                <w:sz w:val="18"/>
                <w:szCs w:val="18"/>
              </w:rPr>
              <w:t>锌</w:t>
            </w:r>
          </w:p>
        </w:tc>
        <w:tc>
          <w:tcPr>
            <w:tcW w:w="792" w:type="pct"/>
            <w:shd w:val="clear" w:color="auto" w:fill="auto"/>
            <w:noWrap/>
            <w:vAlign w:val="center"/>
          </w:tcPr>
          <w:p w14:paraId="501BC32C">
            <w:pPr>
              <w:jc w:val="center"/>
              <w:rPr>
                <w:sz w:val="18"/>
                <w:szCs w:val="18"/>
              </w:rPr>
            </w:pPr>
            <w:r>
              <w:rPr>
                <w:rFonts w:hint="eastAsia"/>
                <w:sz w:val="18"/>
                <w:szCs w:val="18"/>
              </w:rPr>
              <w:t>&lt;0.3</w:t>
            </w:r>
          </w:p>
        </w:tc>
        <w:tc>
          <w:tcPr>
            <w:tcW w:w="903" w:type="pct"/>
            <w:shd w:val="clear" w:color="auto" w:fill="auto"/>
            <w:noWrap/>
            <w:vAlign w:val="center"/>
          </w:tcPr>
          <w:p w14:paraId="541B496C">
            <w:pPr>
              <w:jc w:val="center"/>
              <w:rPr>
                <w:sz w:val="18"/>
                <w:szCs w:val="18"/>
              </w:rPr>
            </w:pPr>
            <w:r>
              <w:rPr>
                <w:rFonts w:hint="eastAsia"/>
                <w:sz w:val="18"/>
                <w:szCs w:val="18"/>
              </w:rPr>
              <w:t>0.3~0.5</w:t>
            </w:r>
          </w:p>
        </w:tc>
        <w:tc>
          <w:tcPr>
            <w:tcW w:w="813" w:type="pct"/>
            <w:shd w:val="clear" w:color="auto" w:fill="auto"/>
            <w:noWrap/>
            <w:vAlign w:val="center"/>
          </w:tcPr>
          <w:p w14:paraId="35DC974A">
            <w:pPr>
              <w:jc w:val="center"/>
              <w:rPr>
                <w:sz w:val="18"/>
                <w:szCs w:val="18"/>
              </w:rPr>
            </w:pPr>
            <w:r>
              <w:rPr>
                <w:rFonts w:hint="eastAsia"/>
                <w:sz w:val="18"/>
                <w:szCs w:val="18"/>
              </w:rPr>
              <w:t>0.5~1.0</w:t>
            </w:r>
          </w:p>
        </w:tc>
        <w:tc>
          <w:tcPr>
            <w:tcW w:w="903" w:type="pct"/>
            <w:shd w:val="clear" w:color="auto" w:fill="auto"/>
            <w:noWrap/>
            <w:vAlign w:val="center"/>
          </w:tcPr>
          <w:p w14:paraId="6AA4D0AA">
            <w:pPr>
              <w:jc w:val="center"/>
              <w:rPr>
                <w:sz w:val="18"/>
                <w:szCs w:val="18"/>
              </w:rPr>
            </w:pPr>
            <w:r>
              <w:rPr>
                <w:rFonts w:hint="eastAsia"/>
                <w:sz w:val="18"/>
                <w:szCs w:val="18"/>
              </w:rPr>
              <w:t>1.0~3.0</w:t>
            </w:r>
          </w:p>
        </w:tc>
        <w:tc>
          <w:tcPr>
            <w:tcW w:w="793" w:type="pct"/>
            <w:shd w:val="clear" w:color="auto" w:fill="auto"/>
            <w:noWrap/>
            <w:vAlign w:val="center"/>
          </w:tcPr>
          <w:p w14:paraId="4FE60158">
            <w:pPr>
              <w:jc w:val="center"/>
              <w:rPr>
                <w:sz w:val="18"/>
                <w:szCs w:val="18"/>
              </w:rPr>
            </w:pPr>
            <w:r>
              <w:rPr>
                <w:rFonts w:hint="eastAsia"/>
                <w:sz w:val="18"/>
                <w:szCs w:val="18"/>
              </w:rPr>
              <w:t>&gt;3.0</w:t>
            </w:r>
          </w:p>
        </w:tc>
      </w:tr>
      <w:tr w14:paraId="14EF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92" w:type="pct"/>
            <w:shd w:val="clear" w:color="auto" w:fill="auto"/>
            <w:noWrap/>
            <w:vAlign w:val="center"/>
          </w:tcPr>
          <w:p w14:paraId="19B56B99">
            <w:pPr>
              <w:jc w:val="center"/>
              <w:rPr>
                <w:sz w:val="18"/>
                <w:szCs w:val="18"/>
              </w:rPr>
            </w:pPr>
            <w:r>
              <w:rPr>
                <w:rFonts w:hint="eastAsia"/>
                <w:sz w:val="18"/>
                <w:szCs w:val="18"/>
              </w:rPr>
              <w:t>钼</w:t>
            </w:r>
          </w:p>
        </w:tc>
        <w:tc>
          <w:tcPr>
            <w:tcW w:w="792" w:type="pct"/>
            <w:shd w:val="clear" w:color="auto" w:fill="auto"/>
            <w:noWrap/>
            <w:vAlign w:val="center"/>
          </w:tcPr>
          <w:p w14:paraId="5FED9616">
            <w:pPr>
              <w:jc w:val="center"/>
              <w:rPr>
                <w:sz w:val="18"/>
                <w:szCs w:val="18"/>
              </w:rPr>
            </w:pPr>
            <w:r>
              <w:rPr>
                <w:rFonts w:hint="eastAsia"/>
                <w:sz w:val="18"/>
                <w:szCs w:val="18"/>
              </w:rPr>
              <w:t>&lt;0.02</w:t>
            </w:r>
          </w:p>
        </w:tc>
        <w:tc>
          <w:tcPr>
            <w:tcW w:w="903" w:type="pct"/>
            <w:shd w:val="clear" w:color="auto" w:fill="auto"/>
            <w:noWrap/>
            <w:vAlign w:val="center"/>
          </w:tcPr>
          <w:p w14:paraId="38A3AB1A">
            <w:pPr>
              <w:jc w:val="center"/>
              <w:rPr>
                <w:sz w:val="18"/>
                <w:szCs w:val="18"/>
              </w:rPr>
            </w:pPr>
            <w:r>
              <w:rPr>
                <w:rFonts w:hint="eastAsia"/>
                <w:sz w:val="18"/>
                <w:szCs w:val="18"/>
              </w:rPr>
              <w:t>0.02~0.05</w:t>
            </w:r>
          </w:p>
        </w:tc>
        <w:tc>
          <w:tcPr>
            <w:tcW w:w="813" w:type="pct"/>
            <w:shd w:val="clear" w:color="auto" w:fill="auto"/>
            <w:noWrap/>
            <w:vAlign w:val="center"/>
          </w:tcPr>
          <w:p w14:paraId="79E7C781">
            <w:pPr>
              <w:jc w:val="center"/>
              <w:rPr>
                <w:sz w:val="18"/>
                <w:szCs w:val="18"/>
              </w:rPr>
            </w:pPr>
            <w:r>
              <w:rPr>
                <w:rFonts w:hint="eastAsia"/>
                <w:sz w:val="18"/>
                <w:szCs w:val="18"/>
              </w:rPr>
              <w:t>0.05~0.2</w:t>
            </w:r>
          </w:p>
        </w:tc>
        <w:tc>
          <w:tcPr>
            <w:tcW w:w="903" w:type="pct"/>
            <w:shd w:val="clear" w:color="auto" w:fill="auto"/>
            <w:noWrap/>
            <w:vAlign w:val="center"/>
          </w:tcPr>
          <w:p w14:paraId="4BDD8F82">
            <w:pPr>
              <w:jc w:val="center"/>
              <w:rPr>
                <w:sz w:val="18"/>
                <w:szCs w:val="18"/>
              </w:rPr>
            </w:pPr>
            <w:r>
              <w:rPr>
                <w:rFonts w:hint="eastAsia"/>
                <w:sz w:val="18"/>
                <w:szCs w:val="18"/>
              </w:rPr>
              <w:t>0.2~0.4</w:t>
            </w:r>
          </w:p>
        </w:tc>
        <w:tc>
          <w:tcPr>
            <w:tcW w:w="793" w:type="pct"/>
            <w:shd w:val="clear" w:color="auto" w:fill="auto"/>
            <w:noWrap/>
            <w:vAlign w:val="center"/>
          </w:tcPr>
          <w:p w14:paraId="0DD73A95">
            <w:pPr>
              <w:jc w:val="center"/>
              <w:rPr>
                <w:sz w:val="18"/>
                <w:szCs w:val="18"/>
              </w:rPr>
            </w:pPr>
            <w:r>
              <w:rPr>
                <w:rFonts w:hint="eastAsia"/>
                <w:sz w:val="18"/>
                <w:szCs w:val="18"/>
              </w:rPr>
              <w:t>&gt;0.4</w:t>
            </w:r>
          </w:p>
        </w:tc>
      </w:tr>
      <w:tr w14:paraId="42D4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92" w:type="pct"/>
            <w:shd w:val="clear" w:color="auto" w:fill="auto"/>
            <w:noWrap/>
            <w:vAlign w:val="center"/>
          </w:tcPr>
          <w:p w14:paraId="343D3AE7">
            <w:pPr>
              <w:jc w:val="center"/>
              <w:rPr>
                <w:sz w:val="18"/>
                <w:szCs w:val="18"/>
              </w:rPr>
            </w:pPr>
            <w:r>
              <w:rPr>
                <w:rFonts w:hint="eastAsia"/>
                <w:sz w:val="18"/>
                <w:szCs w:val="18"/>
              </w:rPr>
              <w:t>硼</w:t>
            </w:r>
          </w:p>
        </w:tc>
        <w:tc>
          <w:tcPr>
            <w:tcW w:w="792" w:type="pct"/>
            <w:shd w:val="clear" w:color="auto" w:fill="auto"/>
            <w:noWrap/>
            <w:vAlign w:val="center"/>
          </w:tcPr>
          <w:p w14:paraId="2C098770">
            <w:pPr>
              <w:jc w:val="center"/>
              <w:rPr>
                <w:sz w:val="18"/>
                <w:szCs w:val="18"/>
              </w:rPr>
            </w:pPr>
            <w:r>
              <w:rPr>
                <w:rFonts w:hint="eastAsia"/>
                <w:sz w:val="18"/>
                <w:szCs w:val="18"/>
              </w:rPr>
              <w:t>&lt;0.5</w:t>
            </w:r>
          </w:p>
        </w:tc>
        <w:tc>
          <w:tcPr>
            <w:tcW w:w="903" w:type="pct"/>
            <w:shd w:val="clear" w:color="auto" w:fill="auto"/>
            <w:noWrap/>
            <w:vAlign w:val="center"/>
          </w:tcPr>
          <w:p w14:paraId="049D8D29">
            <w:pPr>
              <w:jc w:val="center"/>
              <w:rPr>
                <w:sz w:val="18"/>
                <w:szCs w:val="18"/>
              </w:rPr>
            </w:pPr>
            <w:r>
              <w:rPr>
                <w:rFonts w:hint="eastAsia"/>
                <w:sz w:val="18"/>
                <w:szCs w:val="18"/>
              </w:rPr>
              <w:t>—</w:t>
            </w:r>
          </w:p>
        </w:tc>
        <w:tc>
          <w:tcPr>
            <w:tcW w:w="813" w:type="pct"/>
            <w:shd w:val="clear" w:color="auto" w:fill="auto"/>
            <w:noWrap/>
            <w:vAlign w:val="center"/>
          </w:tcPr>
          <w:p w14:paraId="2B3D1D96">
            <w:pPr>
              <w:jc w:val="center"/>
              <w:rPr>
                <w:sz w:val="18"/>
                <w:szCs w:val="18"/>
              </w:rPr>
            </w:pPr>
            <w:r>
              <w:rPr>
                <w:rFonts w:hint="eastAsia"/>
                <w:sz w:val="18"/>
                <w:szCs w:val="18"/>
              </w:rPr>
              <w:t>0.5~1.0</w:t>
            </w:r>
          </w:p>
        </w:tc>
        <w:tc>
          <w:tcPr>
            <w:tcW w:w="903" w:type="pct"/>
            <w:shd w:val="clear" w:color="auto" w:fill="auto"/>
            <w:noWrap/>
            <w:vAlign w:val="center"/>
          </w:tcPr>
          <w:p w14:paraId="62A4C61A">
            <w:pPr>
              <w:jc w:val="center"/>
              <w:rPr>
                <w:sz w:val="18"/>
                <w:szCs w:val="18"/>
              </w:rPr>
            </w:pPr>
            <w:r>
              <w:rPr>
                <w:rFonts w:hint="eastAsia"/>
                <w:sz w:val="18"/>
                <w:szCs w:val="18"/>
              </w:rPr>
              <w:t>—</w:t>
            </w:r>
          </w:p>
        </w:tc>
        <w:tc>
          <w:tcPr>
            <w:tcW w:w="793" w:type="pct"/>
            <w:shd w:val="clear" w:color="auto" w:fill="auto"/>
            <w:noWrap/>
            <w:vAlign w:val="center"/>
          </w:tcPr>
          <w:p w14:paraId="6650BFA4">
            <w:pPr>
              <w:jc w:val="center"/>
              <w:rPr>
                <w:sz w:val="18"/>
                <w:szCs w:val="18"/>
              </w:rPr>
            </w:pPr>
            <w:r>
              <w:rPr>
                <w:rFonts w:hint="eastAsia"/>
                <w:sz w:val="18"/>
                <w:szCs w:val="18"/>
              </w:rPr>
              <w:t>&gt;4.5</w:t>
            </w:r>
          </w:p>
        </w:tc>
      </w:tr>
      <w:bookmarkEnd w:id="113"/>
      <w:bookmarkEnd w:id="114"/>
      <w:bookmarkEnd w:id="115"/>
    </w:tbl>
    <w:p w14:paraId="263A47B2">
      <w:pPr>
        <w:pStyle w:val="57"/>
        <w:ind w:firstLine="0" w:firstLineChars="0"/>
      </w:pPr>
    </w:p>
    <w:p w14:paraId="24DD401F">
      <w:pPr>
        <w:pStyle w:val="57"/>
        <w:ind w:firstLine="0" w:firstLineChars="0"/>
      </w:pPr>
    </w:p>
    <w:p w14:paraId="56F1B18A">
      <w:pPr>
        <w:pStyle w:val="57"/>
        <w:ind w:firstLine="0" w:firstLineChars="0"/>
      </w:pPr>
    </w:p>
    <w:p w14:paraId="1134D187">
      <w:pPr>
        <w:pStyle w:val="57"/>
        <w:ind w:firstLine="0" w:firstLineChars="0"/>
      </w:pPr>
    </w:p>
    <w:p w14:paraId="3256EC14">
      <w:pPr>
        <w:pStyle w:val="57"/>
        <w:ind w:firstLine="0" w:firstLineChars="0"/>
      </w:pPr>
    </w:p>
    <w:p w14:paraId="4BAB9268">
      <w:pPr>
        <w:pStyle w:val="57"/>
        <w:ind w:firstLine="0" w:firstLineChars="0"/>
      </w:pPr>
    </w:p>
    <w:p w14:paraId="101C8324">
      <w:pPr>
        <w:pStyle w:val="57"/>
        <w:ind w:firstLine="0" w:firstLineChars="0"/>
      </w:pPr>
    </w:p>
    <w:p w14:paraId="30DFAA03">
      <w:pPr>
        <w:pStyle w:val="57"/>
        <w:ind w:firstLine="0" w:firstLineChars="0"/>
      </w:pPr>
    </w:p>
    <w:p w14:paraId="0F89F5D5">
      <w:pPr>
        <w:pStyle w:val="57"/>
        <w:ind w:firstLine="0" w:firstLineChars="0"/>
      </w:pPr>
    </w:p>
    <w:p w14:paraId="3AA89D75">
      <w:pPr>
        <w:pStyle w:val="57"/>
        <w:ind w:firstLine="0" w:firstLineChars="0"/>
      </w:pPr>
    </w:p>
    <w:p w14:paraId="71AD6A5E">
      <w:pPr>
        <w:pStyle w:val="57"/>
        <w:ind w:firstLine="0" w:firstLineChars="0"/>
      </w:pPr>
    </w:p>
    <w:p w14:paraId="24D68253">
      <w:pPr>
        <w:keepNext w:val="0"/>
        <w:keepLines w:val="0"/>
        <w:pageBreakBefore w:val="0"/>
        <w:widowControl w:val="0"/>
        <w:numPr>
          <w:ilvl w:val="255"/>
          <w:numId w:val="0"/>
        </w:numPr>
        <w:kinsoku/>
        <w:wordWrap/>
        <w:overflowPunct/>
        <w:topLinePunct w:val="0"/>
        <w:autoSpaceDE/>
        <w:autoSpaceDN/>
        <w:bidi w:val="0"/>
        <w:adjustRightInd/>
        <w:snapToGrid/>
        <w:spacing w:before="156" w:beforeLines="50" w:after="156" w:afterLines="50"/>
        <w:jc w:val="center"/>
        <w:textAlignment w:val="auto"/>
        <w:outlineLvl w:val="9"/>
        <w:rPr>
          <w:rFonts w:eastAsia="黑体"/>
          <w:bCs/>
          <w:kern w:val="44"/>
          <w:szCs w:val="20"/>
        </w:rPr>
      </w:pPr>
    </w:p>
    <w:p w14:paraId="54526C77">
      <w:pPr>
        <w:pStyle w:val="57"/>
        <w:ind w:firstLine="0" w:firstLineChars="0"/>
        <w:sectPr>
          <w:footerReference r:id="rId10" w:type="default"/>
          <w:footerReference r:id="rId11" w:type="even"/>
          <w:pgSz w:w="11906" w:h="16838"/>
          <w:pgMar w:top="1418" w:right="1134" w:bottom="1361" w:left="1418" w:header="851" w:footer="992" w:gutter="0"/>
          <w:pgNumType w:start="1"/>
          <w:cols w:space="425" w:num="1"/>
          <w:docGrid w:type="lines" w:linePitch="312" w:charSpace="0"/>
        </w:sectPr>
      </w:pPr>
    </w:p>
    <w:p w14:paraId="7917E18D">
      <w:pPr>
        <w:keepNext/>
        <w:keepLines/>
        <w:pageBreakBefore/>
        <w:spacing w:before="156" w:beforeLines="50"/>
        <w:jc w:val="center"/>
        <w:outlineLvl w:val="0"/>
        <w:rPr>
          <w:rFonts w:hint="eastAsia" w:eastAsia="黑体"/>
          <w:b/>
          <w:kern w:val="44"/>
          <w:szCs w:val="20"/>
          <w:lang w:val="en-US" w:eastAsia="zh-CN"/>
        </w:rPr>
      </w:pPr>
      <w:bookmarkStart w:id="116" w:name="_Toc235478409"/>
      <w:bookmarkStart w:id="117" w:name="_Toc23005"/>
      <w:r>
        <w:rPr>
          <w:rFonts w:eastAsia="黑体"/>
          <w:b/>
          <w:kern w:val="44"/>
          <w:szCs w:val="20"/>
        </w:rPr>
        <w:t>附录</w:t>
      </w:r>
      <w:bookmarkEnd w:id="116"/>
      <w:r>
        <w:rPr>
          <w:rFonts w:hint="eastAsia" w:eastAsia="黑体"/>
          <w:b/>
          <w:kern w:val="44"/>
          <w:szCs w:val="20"/>
          <w:lang w:val="en-US" w:eastAsia="zh-CN"/>
        </w:rPr>
        <w:t>D</w:t>
      </w:r>
      <w:bookmarkEnd w:id="117"/>
    </w:p>
    <w:p w14:paraId="2434D3A3">
      <w:pPr>
        <w:keepNext/>
        <w:keepLines/>
        <w:spacing w:before="156" w:beforeLines="50" w:after="156" w:afterLines="50"/>
        <w:jc w:val="center"/>
        <w:outlineLvl w:val="0"/>
        <w:rPr>
          <w:rFonts w:eastAsia="黑体"/>
          <w:bCs/>
          <w:kern w:val="44"/>
          <w:szCs w:val="20"/>
        </w:rPr>
      </w:pPr>
      <w:bookmarkStart w:id="118" w:name="_Toc30137"/>
      <w:bookmarkStart w:id="119" w:name="_Toc209"/>
      <w:bookmarkStart w:id="120" w:name="_Toc235478410"/>
      <w:r>
        <w:rPr>
          <w:rFonts w:eastAsia="黑体"/>
          <w:bCs/>
          <w:kern w:val="44"/>
          <w:szCs w:val="20"/>
        </w:rPr>
        <w:t>（资料性）</w:t>
      </w:r>
      <w:bookmarkEnd w:id="118"/>
      <w:bookmarkEnd w:id="119"/>
      <w:bookmarkEnd w:id="120"/>
    </w:p>
    <w:p w14:paraId="19A7DFF8">
      <w:pPr>
        <w:keepNext/>
        <w:keepLines/>
        <w:spacing w:before="156" w:beforeLines="50" w:after="156" w:afterLines="50"/>
        <w:jc w:val="center"/>
        <w:outlineLvl w:val="0"/>
        <w:rPr>
          <w:rFonts w:eastAsia="黑体"/>
          <w:bCs/>
          <w:kern w:val="44"/>
          <w:szCs w:val="20"/>
        </w:rPr>
      </w:pPr>
      <w:bookmarkStart w:id="121" w:name="_Toc235478411"/>
      <w:bookmarkStart w:id="122" w:name="_Toc23083"/>
      <w:r>
        <w:rPr>
          <w:rFonts w:hint="eastAsia" w:eastAsia="黑体"/>
          <w:bCs/>
          <w:kern w:val="44"/>
          <w:szCs w:val="20"/>
        </w:rPr>
        <w:t>氮磷钾肥液喷施浓度</w:t>
      </w:r>
      <w:r>
        <w:rPr>
          <w:rFonts w:hint="eastAsia" w:eastAsia="黑体"/>
          <w:bCs/>
          <w:kern w:val="44"/>
          <w:szCs w:val="20"/>
          <w:lang w:val="en-US" w:eastAsia="zh-CN"/>
        </w:rPr>
        <w:t>推荐</w:t>
      </w:r>
      <w:r>
        <w:rPr>
          <w:rFonts w:hint="eastAsia" w:eastAsia="黑体"/>
          <w:bCs/>
          <w:kern w:val="44"/>
          <w:szCs w:val="20"/>
        </w:rPr>
        <w:t>表</w:t>
      </w:r>
      <w:bookmarkEnd w:id="121"/>
      <w:bookmarkEnd w:id="122"/>
    </w:p>
    <w:p w14:paraId="5847F912">
      <w:pPr>
        <w:widowControl/>
        <w:ind w:firstLine="420" w:firstLineChars="200"/>
        <w:jc w:val="left"/>
        <w:rPr>
          <w:szCs w:val="21"/>
        </w:rPr>
      </w:pPr>
      <w:r>
        <w:rPr>
          <w:szCs w:val="21"/>
        </w:rPr>
        <w:t>表</w:t>
      </w:r>
      <w:r>
        <w:rPr>
          <w:rFonts w:hint="eastAsia"/>
          <w:szCs w:val="21"/>
          <w:lang w:val="en-US" w:eastAsia="zh-CN"/>
        </w:rPr>
        <w:t>D</w:t>
      </w:r>
      <w:r>
        <w:rPr>
          <w:szCs w:val="21"/>
        </w:rPr>
        <w:t>.1</w:t>
      </w:r>
      <w:r>
        <w:rPr>
          <w:rFonts w:hint="eastAsia"/>
          <w:szCs w:val="21"/>
        </w:rPr>
        <w:t>给出了氮磷钾肥液的推荐喷施浓度。</w:t>
      </w:r>
    </w:p>
    <w:p w14:paraId="5C2B086C">
      <w:pPr>
        <w:pStyle w:val="108"/>
        <w:numPr>
          <w:ilvl w:val="0"/>
          <w:numId w:val="0"/>
        </w:numPr>
        <w:tabs>
          <w:tab w:val="left" w:pos="210"/>
        </w:tabs>
        <w:spacing w:before="156" w:beforeLines="50" w:after="156" w:afterLines="50"/>
        <w:ind w:left="403"/>
        <w:jc w:val="right"/>
        <w:rPr>
          <w:rFonts w:ascii="Times New Roman"/>
          <w:bCs/>
          <w:kern w:val="44"/>
        </w:rPr>
      </w:pPr>
      <w:bookmarkStart w:id="123" w:name="_Toc87970180"/>
      <w:r>
        <w:rPr>
          <w:rFonts w:hint="eastAsia" w:ascii="Times New Roman"/>
          <w:bCs/>
          <w:kern w:val="44"/>
        </w:rPr>
        <w:t>表</w:t>
      </w:r>
      <w:r>
        <w:rPr>
          <w:rFonts w:hint="eastAsia" w:ascii="Times New Roman"/>
          <w:bCs/>
          <w:kern w:val="44"/>
          <w:lang w:val="en-US" w:eastAsia="zh-CN"/>
        </w:rPr>
        <w:t>D</w:t>
      </w:r>
      <w:r>
        <w:rPr>
          <w:rFonts w:hint="eastAsia" w:ascii="Times New Roman"/>
          <w:bCs/>
          <w:kern w:val="44"/>
        </w:rPr>
        <w:t xml:space="preserve">.1  </w:t>
      </w:r>
      <w:bookmarkEnd w:id="123"/>
      <w:r>
        <w:rPr>
          <w:rFonts w:hint="eastAsia" w:ascii="Times New Roman"/>
          <w:bCs/>
          <w:kern w:val="44"/>
        </w:rPr>
        <w:t xml:space="preserve"> 氮磷钾肥液喷施浓度</w:t>
      </w:r>
      <w:r>
        <w:rPr>
          <w:rFonts w:hint="eastAsia" w:ascii="Times New Roman"/>
          <w:bCs/>
          <w:kern w:val="44"/>
          <w:lang w:val="en-US" w:eastAsia="zh-CN"/>
        </w:rPr>
        <w:t>推荐</w:t>
      </w:r>
      <w:r>
        <w:rPr>
          <w:rFonts w:hint="eastAsia" w:ascii="Times New Roman"/>
          <w:bCs/>
          <w:kern w:val="44"/>
        </w:rPr>
        <w:t xml:space="preserve">表                                           单位：%           </w:t>
      </w:r>
    </w:p>
    <w:tbl>
      <w:tblPr>
        <w:tblStyle w:val="32"/>
        <w:tblW w:w="9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561"/>
        <w:gridCol w:w="2346"/>
        <w:gridCol w:w="2346"/>
        <w:gridCol w:w="2346"/>
      </w:tblGrid>
      <w:tr w14:paraId="2110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0" w:type="auto"/>
            <w:vMerge w:val="restart"/>
            <w:tcBorders>
              <w:tl2br w:val="nil"/>
            </w:tcBorders>
            <w:shd w:val="clear" w:color="auto" w:fill="FFFFFF"/>
            <w:tcMar>
              <w:left w:w="108" w:type="dxa"/>
              <w:right w:w="108" w:type="dxa"/>
            </w:tcMar>
            <w:vAlign w:val="center"/>
          </w:tcPr>
          <w:p w14:paraId="79EEEBC0">
            <w:pPr>
              <w:jc w:val="center"/>
              <w:rPr>
                <w:sz w:val="18"/>
                <w:szCs w:val="18"/>
              </w:rPr>
            </w:pPr>
            <w:r>
              <w:rPr>
                <w:sz w:val="18"/>
                <w:szCs w:val="18"/>
              </w:rPr>
              <w:t>生长阶段</w:t>
            </w:r>
          </w:p>
        </w:tc>
        <w:tc>
          <w:tcPr>
            <w:tcW w:w="0" w:type="auto"/>
            <w:gridSpan w:val="3"/>
            <w:shd w:val="clear" w:color="auto" w:fill="FFFFFF"/>
            <w:tcMar>
              <w:left w:w="108" w:type="dxa"/>
              <w:right w:w="108" w:type="dxa"/>
            </w:tcMar>
            <w:vAlign w:val="center"/>
          </w:tcPr>
          <w:p w14:paraId="5DD720C1">
            <w:pPr>
              <w:jc w:val="center"/>
              <w:rPr>
                <w:sz w:val="18"/>
                <w:szCs w:val="18"/>
              </w:rPr>
            </w:pPr>
            <w:r>
              <w:rPr>
                <w:rFonts w:hint="eastAsia"/>
                <w:sz w:val="18"/>
                <w:szCs w:val="18"/>
              </w:rPr>
              <w:t>营养元素</w:t>
            </w:r>
          </w:p>
        </w:tc>
      </w:tr>
      <w:tr w14:paraId="227C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0" w:type="auto"/>
            <w:vMerge w:val="continue"/>
            <w:shd w:val="clear" w:color="auto" w:fill="FFFFFF"/>
            <w:tcMar>
              <w:left w:w="108" w:type="dxa"/>
              <w:right w:w="108" w:type="dxa"/>
            </w:tcMar>
            <w:vAlign w:val="center"/>
          </w:tcPr>
          <w:p w14:paraId="10B06A73">
            <w:pPr>
              <w:jc w:val="center"/>
              <w:rPr>
                <w:sz w:val="18"/>
                <w:szCs w:val="18"/>
              </w:rPr>
            </w:pPr>
          </w:p>
        </w:tc>
        <w:tc>
          <w:tcPr>
            <w:tcW w:w="2346" w:type="dxa"/>
            <w:shd w:val="clear" w:color="auto" w:fill="FFFFFF"/>
            <w:tcMar>
              <w:left w:w="108" w:type="dxa"/>
              <w:right w:w="108" w:type="dxa"/>
            </w:tcMar>
            <w:vAlign w:val="center"/>
          </w:tcPr>
          <w:p w14:paraId="5AF072E6">
            <w:pPr>
              <w:spacing w:line="320" w:lineRule="exact"/>
              <w:jc w:val="center"/>
              <w:rPr>
                <w:sz w:val="18"/>
                <w:szCs w:val="18"/>
              </w:rPr>
            </w:pPr>
            <w:r>
              <w:rPr>
                <w:color w:val="000000"/>
                <w:sz w:val="18"/>
                <w:szCs w:val="18"/>
              </w:rPr>
              <w:t>氮（N）</w:t>
            </w:r>
          </w:p>
        </w:tc>
        <w:tc>
          <w:tcPr>
            <w:tcW w:w="2346" w:type="dxa"/>
            <w:shd w:val="clear" w:color="auto" w:fill="FFFFFF"/>
            <w:tcMar>
              <w:left w:w="108" w:type="dxa"/>
              <w:right w:w="108" w:type="dxa"/>
            </w:tcMar>
            <w:vAlign w:val="center"/>
          </w:tcPr>
          <w:p w14:paraId="5574D970">
            <w:pPr>
              <w:spacing w:line="320" w:lineRule="exact"/>
              <w:jc w:val="center"/>
              <w:rPr>
                <w:sz w:val="18"/>
                <w:szCs w:val="18"/>
              </w:rPr>
            </w:pPr>
            <w:r>
              <w:rPr>
                <w:color w:val="000000"/>
                <w:sz w:val="18"/>
                <w:szCs w:val="18"/>
              </w:rPr>
              <w:t>磷（P</w:t>
            </w:r>
            <w:r>
              <w:rPr>
                <w:color w:val="000000"/>
                <w:sz w:val="18"/>
                <w:szCs w:val="18"/>
                <w:vertAlign w:val="subscript"/>
              </w:rPr>
              <w:t>2</w:t>
            </w:r>
            <w:r>
              <w:rPr>
                <w:color w:val="000000"/>
                <w:sz w:val="18"/>
                <w:szCs w:val="18"/>
              </w:rPr>
              <w:t>O</w:t>
            </w:r>
            <w:r>
              <w:rPr>
                <w:color w:val="000000"/>
                <w:sz w:val="18"/>
                <w:szCs w:val="18"/>
                <w:vertAlign w:val="subscript"/>
              </w:rPr>
              <w:t>5</w:t>
            </w:r>
            <w:r>
              <w:rPr>
                <w:color w:val="000000"/>
                <w:sz w:val="18"/>
                <w:szCs w:val="18"/>
              </w:rPr>
              <w:t>）</w:t>
            </w:r>
          </w:p>
        </w:tc>
        <w:tc>
          <w:tcPr>
            <w:tcW w:w="2346" w:type="dxa"/>
            <w:shd w:val="clear" w:color="auto" w:fill="FFFFFF"/>
            <w:tcMar>
              <w:left w:w="108" w:type="dxa"/>
              <w:right w:w="108" w:type="dxa"/>
            </w:tcMar>
            <w:vAlign w:val="center"/>
          </w:tcPr>
          <w:p w14:paraId="7EC68F80">
            <w:pPr>
              <w:spacing w:line="320" w:lineRule="exact"/>
              <w:jc w:val="center"/>
              <w:rPr>
                <w:sz w:val="18"/>
                <w:szCs w:val="18"/>
              </w:rPr>
            </w:pPr>
            <w:r>
              <w:rPr>
                <w:color w:val="000000"/>
                <w:sz w:val="18"/>
                <w:szCs w:val="18"/>
              </w:rPr>
              <w:t>钾（K</w:t>
            </w:r>
            <w:r>
              <w:rPr>
                <w:color w:val="000000"/>
                <w:sz w:val="18"/>
                <w:szCs w:val="18"/>
                <w:vertAlign w:val="subscript"/>
              </w:rPr>
              <w:t>2</w:t>
            </w:r>
            <w:r>
              <w:rPr>
                <w:color w:val="000000"/>
                <w:sz w:val="18"/>
                <w:szCs w:val="18"/>
              </w:rPr>
              <w:t>O）</w:t>
            </w:r>
          </w:p>
        </w:tc>
      </w:tr>
      <w:tr w14:paraId="62A7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0" w:type="auto"/>
            <w:shd w:val="clear" w:color="auto" w:fill="FFFFFF"/>
            <w:tcMar>
              <w:left w:w="108" w:type="dxa"/>
              <w:right w:w="108" w:type="dxa"/>
            </w:tcMar>
            <w:vAlign w:val="center"/>
          </w:tcPr>
          <w:p w14:paraId="0EA46E09">
            <w:pPr>
              <w:jc w:val="center"/>
              <w:rPr>
                <w:sz w:val="18"/>
                <w:szCs w:val="18"/>
              </w:rPr>
            </w:pPr>
            <w:r>
              <w:rPr>
                <w:sz w:val="18"/>
                <w:szCs w:val="18"/>
              </w:rPr>
              <w:t>拔节期</w:t>
            </w:r>
          </w:p>
        </w:tc>
        <w:tc>
          <w:tcPr>
            <w:tcW w:w="0" w:type="auto"/>
            <w:shd w:val="clear" w:color="auto" w:fill="FFFFFF"/>
            <w:tcMar>
              <w:left w:w="108" w:type="dxa"/>
              <w:right w:w="108" w:type="dxa"/>
            </w:tcMar>
            <w:vAlign w:val="center"/>
          </w:tcPr>
          <w:p w14:paraId="551E09DD">
            <w:pPr>
              <w:jc w:val="center"/>
              <w:rPr>
                <w:sz w:val="18"/>
                <w:szCs w:val="18"/>
              </w:rPr>
            </w:pPr>
            <w:r>
              <w:rPr>
                <w:sz w:val="18"/>
                <w:szCs w:val="18"/>
              </w:rPr>
              <w:t>0.10</w:t>
            </w:r>
            <w:r>
              <w:rPr>
                <w:rFonts w:hint="eastAsia"/>
                <w:sz w:val="18"/>
                <w:szCs w:val="18"/>
              </w:rPr>
              <w:t>~</w:t>
            </w:r>
            <w:r>
              <w:rPr>
                <w:sz w:val="18"/>
                <w:szCs w:val="18"/>
              </w:rPr>
              <w:t>0.80</w:t>
            </w:r>
          </w:p>
        </w:tc>
        <w:tc>
          <w:tcPr>
            <w:tcW w:w="0" w:type="auto"/>
            <w:shd w:val="clear" w:color="auto" w:fill="FFFFFF"/>
            <w:tcMar>
              <w:left w:w="108" w:type="dxa"/>
              <w:right w:w="108" w:type="dxa"/>
            </w:tcMar>
            <w:vAlign w:val="center"/>
          </w:tcPr>
          <w:p w14:paraId="7C6D3EC5">
            <w:pPr>
              <w:jc w:val="center"/>
              <w:rPr>
                <w:sz w:val="18"/>
                <w:szCs w:val="18"/>
              </w:rPr>
            </w:pPr>
            <w:r>
              <w:rPr>
                <w:sz w:val="18"/>
                <w:szCs w:val="18"/>
              </w:rPr>
              <w:t>0.06</w:t>
            </w:r>
            <w:r>
              <w:rPr>
                <w:rFonts w:hint="eastAsia"/>
                <w:sz w:val="18"/>
                <w:szCs w:val="18"/>
              </w:rPr>
              <w:t>~</w:t>
            </w:r>
            <w:r>
              <w:rPr>
                <w:sz w:val="18"/>
                <w:szCs w:val="18"/>
              </w:rPr>
              <w:t>1.15</w:t>
            </w:r>
          </w:p>
        </w:tc>
        <w:tc>
          <w:tcPr>
            <w:tcW w:w="0" w:type="auto"/>
            <w:shd w:val="clear" w:color="auto" w:fill="FFFFFF"/>
            <w:tcMar>
              <w:left w:w="108" w:type="dxa"/>
              <w:right w:w="108" w:type="dxa"/>
            </w:tcMar>
            <w:vAlign w:val="center"/>
          </w:tcPr>
          <w:p w14:paraId="060E0375">
            <w:pPr>
              <w:jc w:val="center"/>
              <w:rPr>
                <w:sz w:val="18"/>
                <w:szCs w:val="18"/>
              </w:rPr>
            </w:pPr>
            <w:r>
              <w:rPr>
                <w:sz w:val="18"/>
                <w:szCs w:val="18"/>
              </w:rPr>
              <w:t>—</w:t>
            </w:r>
          </w:p>
        </w:tc>
      </w:tr>
      <w:tr w14:paraId="681B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0" w:type="auto"/>
            <w:shd w:val="clear" w:color="auto" w:fill="FFFFFF"/>
            <w:tcMar>
              <w:left w:w="108" w:type="dxa"/>
              <w:right w:w="108" w:type="dxa"/>
            </w:tcMar>
            <w:vAlign w:val="center"/>
          </w:tcPr>
          <w:p w14:paraId="45FF51B0">
            <w:pPr>
              <w:jc w:val="center"/>
              <w:rPr>
                <w:sz w:val="18"/>
                <w:szCs w:val="18"/>
              </w:rPr>
            </w:pPr>
            <w:r>
              <w:rPr>
                <w:sz w:val="18"/>
                <w:szCs w:val="18"/>
              </w:rPr>
              <w:t>大喇叭口期</w:t>
            </w:r>
          </w:p>
        </w:tc>
        <w:tc>
          <w:tcPr>
            <w:tcW w:w="0" w:type="auto"/>
            <w:shd w:val="clear" w:color="auto" w:fill="FFFFFF"/>
            <w:tcMar>
              <w:left w:w="108" w:type="dxa"/>
              <w:right w:w="108" w:type="dxa"/>
            </w:tcMar>
            <w:vAlign w:val="center"/>
          </w:tcPr>
          <w:p w14:paraId="6EED97F0">
            <w:pPr>
              <w:jc w:val="center"/>
              <w:rPr>
                <w:sz w:val="18"/>
                <w:szCs w:val="18"/>
              </w:rPr>
            </w:pPr>
            <w:r>
              <w:rPr>
                <w:sz w:val="18"/>
                <w:szCs w:val="18"/>
              </w:rPr>
              <w:t>0.40</w:t>
            </w:r>
          </w:p>
        </w:tc>
        <w:tc>
          <w:tcPr>
            <w:tcW w:w="0" w:type="auto"/>
            <w:shd w:val="clear" w:color="auto" w:fill="FFFFFF"/>
            <w:tcMar>
              <w:left w:w="108" w:type="dxa"/>
              <w:right w:w="108" w:type="dxa"/>
            </w:tcMar>
            <w:vAlign w:val="center"/>
          </w:tcPr>
          <w:p w14:paraId="2BEACB93">
            <w:pPr>
              <w:jc w:val="center"/>
              <w:rPr>
                <w:sz w:val="18"/>
                <w:szCs w:val="18"/>
              </w:rPr>
            </w:pPr>
            <w:r>
              <w:rPr>
                <w:sz w:val="18"/>
                <w:szCs w:val="18"/>
              </w:rPr>
              <w:t>0.06</w:t>
            </w:r>
            <w:r>
              <w:rPr>
                <w:rFonts w:hint="eastAsia"/>
                <w:sz w:val="18"/>
                <w:szCs w:val="18"/>
              </w:rPr>
              <w:t>~</w:t>
            </w:r>
            <w:r>
              <w:rPr>
                <w:sz w:val="18"/>
                <w:szCs w:val="18"/>
              </w:rPr>
              <w:t>0.15</w:t>
            </w:r>
          </w:p>
        </w:tc>
        <w:tc>
          <w:tcPr>
            <w:tcW w:w="0" w:type="auto"/>
            <w:shd w:val="clear" w:color="auto" w:fill="FFFFFF"/>
            <w:tcMar>
              <w:left w:w="108" w:type="dxa"/>
              <w:right w:w="108" w:type="dxa"/>
            </w:tcMar>
            <w:vAlign w:val="center"/>
          </w:tcPr>
          <w:p w14:paraId="699083C4">
            <w:pPr>
              <w:jc w:val="center"/>
              <w:rPr>
                <w:sz w:val="18"/>
                <w:szCs w:val="18"/>
              </w:rPr>
            </w:pPr>
            <w:r>
              <w:rPr>
                <w:sz w:val="18"/>
                <w:szCs w:val="18"/>
              </w:rPr>
              <w:t>0.10</w:t>
            </w:r>
            <w:r>
              <w:rPr>
                <w:rFonts w:hint="eastAsia"/>
                <w:sz w:val="18"/>
                <w:szCs w:val="18"/>
              </w:rPr>
              <w:t>~</w:t>
            </w:r>
            <w:r>
              <w:rPr>
                <w:sz w:val="18"/>
                <w:szCs w:val="18"/>
              </w:rPr>
              <w:t>0.40</w:t>
            </w:r>
          </w:p>
        </w:tc>
      </w:tr>
      <w:tr w14:paraId="7290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0" w:type="auto"/>
            <w:shd w:val="clear" w:color="auto" w:fill="FFFFFF"/>
            <w:tcMar>
              <w:left w:w="108" w:type="dxa"/>
              <w:right w:w="108" w:type="dxa"/>
            </w:tcMar>
            <w:vAlign w:val="center"/>
          </w:tcPr>
          <w:p w14:paraId="126CF51B">
            <w:pPr>
              <w:jc w:val="center"/>
              <w:rPr>
                <w:sz w:val="18"/>
                <w:szCs w:val="18"/>
              </w:rPr>
            </w:pPr>
            <w:r>
              <w:rPr>
                <w:sz w:val="18"/>
                <w:szCs w:val="18"/>
              </w:rPr>
              <w:t>抽穗期</w:t>
            </w:r>
          </w:p>
        </w:tc>
        <w:tc>
          <w:tcPr>
            <w:tcW w:w="0" w:type="auto"/>
            <w:shd w:val="clear" w:color="auto" w:fill="FFFFFF"/>
            <w:tcMar>
              <w:left w:w="108" w:type="dxa"/>
              <w:right w:w="108" w:type="dxa"/>
            </w:tcMar>
            <w:vAlign w:val="center"/>
          </w:tcPr>
          <w:p w14:paraId="7903BFC2">
            <w:pPr>
              <w:jc w:val="center"/>
              <w:rPr>
                <w:sz w:val="18"/>
                <w:szCs w:val="18"/>
              </w:rPr>
            </w:pPr>
            <w:r>
              <w:rPr>
                <w:sz w:val="18"/>
                <w:szCs w:val="18"/>
              </w:rPr>
              <w:t>0.25</w:t>
            </w:r>
            <w:r>
              <w:rPr>
                <w:rFonts w:hint="eastAsia"/>
                <w:sz w:val="18"/>
                <w:szCs w:val="18"/>
              </w:rPr>
              <w:t>~</w:t>
            </w:r>
            <w:r>
              <w:rPr>
                <w:sz w:val="18"/>
                <w:szCs w:val="18"/>
              </w:rPr>
              <w:t>0.40</w:t>
            </w:r>
          </w:p>
        </w:tc>
        <w:tc>
          <w:tcPr>
            <w:tcW w:w="0" w:type="auto"/>
            <w:shd w:val="clear" w:color="auto" w:fill="FFFFFF"/>
            <w:tcMar>
              <w:left w:w="108" w:type="dxa"/>
              <w:right w:w="108" w:type="dxa"/>
            </w:tcMar>
            <w:vAlign w:val="center"/>
          </w:tcPr>
          <w:p w14:paraId="1FE06319">
            <w:pPr>
              <w:jc w:val="center"/>
              <w:rPr>
                <w:sz w:val="18"/>
                <w:szCs w:val="18"/>
              </w:rPr>
            </w:pPr>
            <w:r>
              <w:rPr>
                <w:sz w:val="18"/>
                <w:szCs w:val="18"/>
              </w:rPr>
              <w:t>0.03</w:t>
            </w:r>
            <w:r>
              <w:rPr>
                <w:rFonts w:hint="eastAsia"/>
                <w:sz w:val="18"/>
                <w:szCs w:val="18"/>
              </w:rPr>
              <w:t>~</w:t>
            </w:r>
            <w:r>
              <w:rPr>
                <w:sz w:val="18"/>
                <w:szCs w:val="18"/>
              </w:rPr>
              <w:t>0.40</w:t>
            </w:r>
          </w:p>
        </w:tc>
        <w:tc>
          <w:tcPr>
            <w:tcW w:w="0" w:type="auto"/>
            <w:shd w:val="clear" w:color="auto" w:fill="FFFFFF"/>
            <w:tcMar>
              <w:left w:w="108" w:type="dxa"/>
              <w:right w:w="108" w:type="dxa"/>
            </w:tcMar>
            <w:vAlign w:val="center"/>
          </w:tcPr>
          <w:p w14:paraId="7E468607">
            <w:pPr>
              <w:jc w:val="center"/>
              <w:rPr>
                <w:sz w:val="18"/>
                <w:szCs w:val="18"/>
              </w:rPr>
            </w:pPr>
            <w:r>
              <w:rPr>
                <w:sz w:val="18"/>
                <w:szCs w:val="18"/>
              </w:rPr>
              <w:t>0.10</w:t>
            </w:r>
            <w:r>
              <w:rPr>
                <w:rFonts w:hint="eastAsia"/>
                <w:sz w:val="18"/>
                <w:szCs w:val="18"/>
              </w:rPr>
              <w:t>~</w:t>
            </w:r>
            <w:r>
              <w:rPr>
                <w:sz w:val="18"/>
                <w:szCs w:val="18"/>
              </w:rPr>
              <w:t>0.40</w:t>
            </w:r>
          </w:p>
        </w:tc>
      </w:tr>
      <w:tr w14:paraId="451D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0" w:type="auto"/>
            <w:shd w:val="clear" w:color="auto" w:fill="FFFFFF"/>
            <w:tcMar>
              <w:left w:w="108" w:type="dxa"/>
              <w:right w:w="108" w:type="dxa"/>
            </w:tcMar>
            <w:vAlign w:val="center"/>
          </w:tcPr>
          <w:p w14:paraId="34422FC1">
            <w:pPr>
              <w:jc w:val="center"/>
              <w:rPr>
                <w:sz w:val="18"/>
                <w:szCs w:val="18"/>
              </w:rPr>
            </w:pPr>
            <w:r>
              <w:rPr>
                <w:sz w:val="18"/>
                <w:szCs w:val="18"/>
              </w:rPr>
              <w:t>灌浆期</w:t>
            </w:r>
          </w:p>
        </w:tc>
        <w:tc>
          <w:tcPr>
            <w:tcW w:w="0" w:type="auto"/>
            <w:shd w:val="clear" w:color="auto" w:fill="FFFFFF"/>
            <w:tcMar>
              <w:left w:w="108" w:type="dxa"/>
              <w:right w:w="108" w:type="dxa"/>
            </w:tcMar>
            <w:vAlign w:val="center"/>
          </w:tcPr>
          <w:p w14:paraId="6A2ED042">
            <w:pPr>
              <w:jc w:val="center"/>
              <w:rPr>
                <w:sz w:val="18"/>
                <w:szCs w:val="18"/>
              </w:rPr>
            </w:pPr>
            <w:r>
              <w:rPr>
                <w:sz w:val="18"/>
                <w:szCs w:val="18"/>
              </w:rPr>
              <w:t>0.25</w:t>
            </w:r>
            <w:r>
              <w:rPr>
                <w:rFonts w:hint="eastAsia"/>
                <w:sz w:val="18"/>
                <w:szCs w:val="18"/>
              </w:rPr>
              <w:t>~</w:t>
            </w:r>
            <w:r>
              <w:rPr>
                <w:sz w:val="18"/>
                <w:szCs w:val="18"/>
              </w:rPr>
              <w:t>0.40</w:t>
            </w:r>
          </w:p>
        </w:tc>
        <w:tc>
          <w:tcPr>
            <w:tcW w:w="0" w:type="auto"/>
            <w:shd w:val="clear" w:color="auto" w:fill="FFFFFF"/>
            <w:tcMar>
              <w:left w:w="108" w:type="dxa"/>
              <w:right w:w="108" w:type="dxa"/>
            </w:tcMar>
            <w:vAlign w:val="center"/>
          </w:tcPr>
          <w:p w14:paraId="20F86951">
            <w:pPr>
              <w:jc w:val="center"/>
              <w:rPr>
                <w:sz w:val="18"/>
                <w:szCs w:val="18"/>
              </w:rPr>
            </w:pPr>
            <w:r>
              <w:rPr>
                <w:sz w:val="18"/>
                <w:szCs w:val="18"/>
              </w:rPr>
              <w:t>0.03</w:t>
            </w:r>
            <w:r>
              <w:rPr>
                <w:rFonts w:hint="eastAsia"/>
                <w:sz w:val="18"/>
                <w:szCs w:val="18"/>
              </w:rPr>
              <w:t>~</w:t>
            </w:r>
            <w:r>
              <w:rPr>
                <w:sz w:val="18"/>
                <w:szCs w:val="18"/>
              </w:rPr>
              <w:t>0.80</w:t>
            </w:r>
          </w:p>
        </w:tc>
        <w:tc>
          <w:tcPr>
            <w:tcW w:w="0" w:type="auto"/>
            <w:shd w:val="clear" w:color="auto" w:fill="FFFFFF"/>
            <w:tcMar>
              <w:left w:w="108" w:type="dxa"/>
              <w:right w:w="108" w:type="dxa"/>
            </w:tcMar>
            <w:vAlign w:val="center"/>
          </w:tcPr>
          <w:p w14:paraId="74ED0D22">
            <w:pPr>
              <w:jc w:val="center"/>
              <w:rPr>
                <w:sz w:val="18"/>
                <w:szCs w:val="18"/>
              </w:rPr>
            </w:pPr>
            <w:r>
              <w:rPr>
                <w:sz w:val="18"/>
                <w:szCs w:val="18"/>
              </w:rPr>
              <w:t>—</w:t>
            </w:r>
          </w:p>
        </w:tc>
      </w:tr>
    </w:tbl>
    <w:p w14:paraId="217C031A"/>
    <w:sectPr>
      <w:pgSz w:w="11906" w:h="16838"/>
      <w:pgMar w:top="1418" w:right="1134" w:bottom="136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东文宋体">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43E0C">
    <w:pPr>
      <w:pStyle w:val="51"/>
      <w:ind w:right="360" w:firstLine="360"/>
      <w:rPr>
        <w:rStyle w:val="36"/>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18813">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8A18813">
                    <w:pPr>
                      <w:pStyle w:val="2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CDBD0">
    <w:pPr>
      <w:pStyle w:val="2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9EC70B">
                          <w:pPr>
                            <w:pStyle w:val="20"/>
                            <w:jc w:val="center"/>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39EC70B">
                    <w:pPr>
                      <w:pStyle w:val="20"/>
                      <w:jc w:val="center"/>
                    </w:pPr>
                    <w:r>
                      <w:fldChar w:fldCharType="begin"/>
                    </w:r>
                    <w:r>
                      <w:instrText xml:space="preserve">PAGE   \* MERGEFORMAT</w:instrText>
                    </w:r>
                    <w:r>
                      <w:fldChar w:fldCharType="separate"/>
                    </w:r>
                    <w:r>
                      <w:rPr>
                        <w:lang w:val="zh-CN"/>
                      </w:rP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F8B6B">
    <w:pPr>
      <w:pStyle w:val="20"/>
      <w:jc w:val="center"/>
      <w:rPr>
        <w:rStyle w:val="36"/>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92117">
                          <w:pPr>
                            <w:pStyle w:val="20"/>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D792117">
                    <w:pPr>
                      <w:pStyle w:val="20"/>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A227A">
    <w:pPr>
      <w:pStyle w:val="20"/>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9D5664">
                          <w:pPr>
                            <w:pStyle w:val="20"/>
                            <w:jc w:val="center"/>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B9D5664">
                    <w:pPr>
                      <w:pStyle w:val="20"/>
                      <w:jc w:val="center"/>
                    </w:pPr>
                    <w:r>
                      <w:fldChar w:fldCharType="begin"/>
                    </w:r>
                    <w:r>
                      <w:instrText xml:space="preserve">PAGE   \* MERGEFORMAT</w:instrText>
                    </w:r>
                    <w:r>
                      <w:fldChar w:fldCharType="separate"/>
                    </w:r>
                    <w:r>
                      <w:rPr>
                        <w:lang w:val="zh-CN"/>
                      </w:rP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3C4B3">
    <w:pPr>
      <w:pStyle w:val="20"/>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2F726">
                          <w:pPr>
                            <w:pStyle w:val="20"/>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2D2F726">
                    <w:pPr>
                      <w:pStyle w:val="20"/>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A3D36">
    <w:pPr>
      <w:pStyle w:val="20"/>
      <w:jc w:val="center"/>
      <w:rPr>
        <w:rStyle w:val="36"/>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C4D6A">
                          <w:pPr>
                            <w:pStyle w:val="20"/>
                            <w:jc w:val="center"/>
                          </w:pPr>
                          <w:r>
                            <w:fldChar w:fldCharType="begin"/>
                          </w:r>
                          <w:r>
                            <w:instrText xml:space="preserve">PAGE   \* MERGEFORMAT</w:instrText>
                          </w:r>
                          <w:r>
                            <w:fldChar w:fldCharType="separate"/>
                          </w:r>
                          <w:r>
                            <w:rPr>
                              <w:lang w:val="zh-CN"/>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B3C4D6A">
                    <w:pPr>
                      <w:pStyle w:val="20"/>
                      <w:jc w:val="center"/>
                    </w:pPr>
                    <w:r>
                      <w:fldChar w:fldCharType="begin"/>
                    </w:r>
                    <w:r>
                      <w:instrText xml:space="preserve">PAGE   \* MERGEFORMAT</w:instrText>
                    </w:r>
                    <w:r>
                      <w:fldChar w:fldCharType="separate"/>
                    </w:r>
                    <w:r>
                      <w:rPr>
                        <w:lang w:val="zh-CN"/>
                      </w:rPr>
                      <w:t>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3AB16">
    <w:pPr>
      <w:pStyle w:val="20"/>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38181">
                          <w:pPr>
                            <w:pStyle w:val="20"/>
                            <w:jc w:val="center"/>
                          </w:pPr>
                          <w:r>
                            <w:fldChar w:fldCharType="begin"/>
                          </w:r>
                          <w:r>
                            <w:instrText xml:space="preserve">PAGE   \* MERGEFORMAT</w:instrText>
                          </w:r>
                          <w:r>
                            <w:fldChar w:fldCharType="separate"/>
                          </w:r>
                          <w:r>
                            <w:rPr>
                              <w:lang w:val="zh-CN"/>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6138181">
                    <w:pPr>
                      <w:pStyle w:val="20"/>
                      <w:jc w:val="center"/>
                    </w:pPr>
                    <w:r>
                      <w:fldChar w:fldCharType="begin"/>
                    </w:r>
                    <w:r>
                      <w:instrText xml:space="preserve">PAGE   \* MERGEFORMAT</w:instrText>
                    </w:r>
                    <w:r>
                      <w:fldChar w:fldCharType="separate"/>
                    </w:r>
                    <w:r>
                      <w:rPr>
                        <w:lang w:val="zh-CN"/>
                      </w:rPr>
                      <w:t>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B8FE4">
    <w:pPr>
      <w:pStyle w:val="21"/>
      <w:numPr>
        <w:ilvl w:val="6"/>
        <w:numId w:val="0"/>
      </w:numPr>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C2248">
    <w:pPr>
      <w:pStyle w:val="21"/>
      <w:numPr>
        <w:ilvl w:val="0"/>
        <w:numId w:val="0"/>
      </w:numPr>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D1912A"/>
    <w:multiLevelType w:val="multilevel"/>
    <w:tmpl w:val="9ED1912A"/>
    <w:lvl w:ilvl="0" w:tentative="0">
      <w:start w:val="1"/>
      <w:numFmt w:val="decimal"/>
      <w:lvlText w:val="%1 "/>
      <w:lvlJc w:val="left"/>
      <w:pPr>
        <w:ind w:left="425" w:hanging="425"/>
      </w:pPr>
      <w:rPr>
        <w:rFonts w:hint="default" w:ascii="Times New Roman" w:hAnsi="Times New Roman" w:eastAsia="黑体" w:cs="Times New Roman"/>
        <w:sz w:val="21"/>
        <w:szCs w:val="21"/>
      </w:rPr>
    </w:lvl>
    <w:lvl w:ilvl="1" w:tentative="0">
      <w:start w:val="1"/>
      <w:numFmt w:val="decimal"/>
      <w:suff w:val="nothing"/>
      <w:lvlText w:val="%1.%2 "/>
      <w:lvlJc w:val="left"/>
      <w:pPr>
        <w:ind w:left="567" w:hanging="567"/>
      </w:pPr>
      <w:rPr>
        <w:rFonts w:hint="default" w:ascii="Times New Roman" w:hAnsi="Times New Roman" w:eastAsia="黑体" w:cs="Times New Roman"/>
        <w:sz w:val="21"/>
        <w:szCs w:val="21"/>
      </w:rPr>
    </w:lvl>
    <w:lvl w:ilvl="2" w:tentative="0">
      <w:start w:val="1"/>
      <w:numFmt w:val="decimal"/>
      <w:suff w:val="space"/>
      <w:lvlText w:val="%1.%2.%3 "/>
      <w:lvlJc w:val="left"/>
      <w:pPr>
        <w:ind w:left="0" w:firstLine="0"/>
      </w:pPr>
      <w:rPr>
        <w:rFonts w:hint="default" w:ascii="Times New Roman" w:hAnsi="Times New Roman" w:cs="Times New Roman"/>
      </w:rPr>
    </w:lvl>
    <w:lvl w:ilvl="3" w:tentative="0">
      <w:start w:val="1"/>
      <w:numFmt w:val="decimal"/>
      <w:suff w:val="space"/>
      <w:lvlText w:val="%1.%2.%3.%4 "/>
      <w:lvlJc w:val="left"/>
      <w:pPr>
        <w:ind w:left="850" w:hanging="850"/>
      </w:pPr>
      <w:rPr>
        <w:rFonts w:hint="default" w:ascii="Times New Roman" w:hAnsi="Times New Roman" w:cs="Times New Roman"/>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pStyle w:val="8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AE367E9"/>
    <w:multiLevelType w:val="multilevel"/>
    <w:tmpl w:val="0AE367E9"/>
    <w:lvl w:ilvl="0" w:tentative="0">
      <w:start w:val="1"/>
      <w:numFmt w:val="none"/>
      <w:pStyle w:val="103"/>
      <w:lvlText w:val="%1示例"/>
      <w:lvlJc w:val="left"/>
      <w:pPr>
        <w:tabs>
          <w:tab w:val="left" w:pos="1120"/>
        </w:tabs>
        <w:ind w:left="0" w:firstLine="400"/>
      </w:pPr>
      <w:rPr>
        <w:rFonts w:hint="eastAsia" w:ascii="宋体" w:eastAsia="宋体"/>
        <w:b w:val="0"/>
        <w:i w:val="0"/>
        <w:sz w:val="18"/>
      </w:rPr>
    </w:lvl>
    <w:lvl w:ilvl="1" w:tentative="0">
      <w:start w:val="1"/>
      <w:numFmt w:val="lowerLetter"/>
      <w:pStyle w:val="75"/>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C490193"/>
    <w:multiLevelType w:val="multilevel"/>
    <w:tmpl w:val="0C490193"/>
    <w:lvl w:ilvl="0" w:tentative="0">
      <w:start w:val="1"/>
      <w:numFmt w:val="none"/>
      <w:pStyle w:val="111"/>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C985C89"/>
    <w:multiLevelType w:val="multilevel"/>
    <w:tmpl w:val="0C985C89"/>
    <w:lvl w:ilvl="0" w:tentative="0">
      <w:start w:val="1"/>
      <w:numFmt w:val="none"/>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pStyle w:val="107"/>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4E772F3"/>
    <w:multiLevelType w:val="multilevel"/>
    <w:tmpl w:val="24E772F3"/>
    <w:lvl w:ilvl="0" w:tentative="0">
      <w:start w:val="1"/>
      <w:numFmt w:val="none"/>
      <w:pStyle w:val="108"/>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C7F154D"/>
    <w:multiLevelType w:val="multilevel"/>
    <w:tmpl w:val="3C7F154D"/>
    <w:lvl w:ilvl="0" w:tentative="0">
      <w:start w:val="1"/>
      <w:numFmt w:val="none"/>
      <w:pStyle w:val="109"/>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46806F7D"/>
    <w:multiLevelType w:val="multilevel"/>
    <w:tmpl w:val="46806F7D"/>
    <w:lvl w:ilvl="0" w:tentative="0">
      <w:start w:val="1"/>
      <w:numFmt w:val="none"/>
      <w:pStyle w:val="80"/>
      <w:lvlText w:val="图"/>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6D22D8F"/>
    <w:multiLevelType w:val="multilevel"/>
    <w:tmpl w:val="46D22D8F"/>
    <w:lvl w:ilvl="0" w:tentative="0">
      <w:start w:val="1"/>
      <w:numFmt w:val="none"/>
      <w:pStyle w:val="114"/>
      <w:lvlText w:val="%1◆　"/>
      <w:lvlJc w:val="left"/>
      <w:pPr>
        <w:tabs>
          <w:tab w:val="left" w:pos="960"/>
        </w:tabs>
        <w:ind w:left="917" w:hanging="317"/>
      </w:pPr>
      <w:rPr>
        <w:rFonts w:hint="eastAsia" w:ascii="宋体" w:hAnsi="Times New Roman" w:eastAsia="宋体"/>
        <w:b w:val="0"/>
        <w:i w:val="0"/>
        <w:position w:val="4"/>
        <w:sz w:val="1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96E4D7B"/>
    <w:multiLevelType w:val="multilevel"/>
    <w:tmpl w:val="496E4D7B"/>
    <w:lvl w:ilvl="0" w:tentative="0">
      <w:start w:val="1"/>
      <w:numFmt w:val="none"/>
      <w:pStyle w:val="101"/>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C691688"/>
    <w:multiLevelType w:val="multilevel"/>
    <w:tmpl w:val="4C691688"/>
    <w:lvl w:ilvl="0" w:tentative="0">
      <w:start w:val="1"/>
      <w:numFmt w:val="none"/>
      <w:pStyle w:val="110"/>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F302902"/>
    <w:multiLevelType w:val="multilevel"/>
    <w:tmpl w:val="4F302902"/>
    <w:lvl w:ilvl="0" w:tentative="0">
      <w:start w:val="1"/>
      <w:numFmt w:val="none"/>
      <w:pStyle w:val="74"/>
      <w:lvlText w:val="表"/>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57C2AF5"/>
    <w:multiLevelType w:val="multilevel"/>
    <w:tmpl w:val="557C2AF5"/>
    <w:lvl w:ilvl="0" w:tentative="0">
      <w:start w:val="1"/>
      <w:numFmt w:val="decimal"/>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pStyle w:val="99"/>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3">
    <w:nsid w:val="6350366A"/>
    <w:multiLevelType w:val="multilevel"/>
    <w:tmpl w:val="6350366A"/>
    <w:lvl w:ilvl="0" w:tentative="0">
      <w:start w:val="1"/>
      <w:numFmt w:val="none"/>
      <w:pStyle w:val="85"/>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657D3FBC"/>
    <w:multiLevelType w:val="multilevel"/>
    <w:tmpl w:val="657D3FBC"/>
    <w:lvl w:ilvl="0" w:tentative="0">
      <w:start w:val="1"/>
      <w:numFmt w:val="upperLetter"/>
      <w:suff w:val="nothing"/>
      <w:lvlText w:val="附　录　%1"/>
      <w:lvlJc w:val="left"/>
      <w:pPr>
        <w:ind w:left="0" w:firstLine="0"/>
      </w:pPr>
      <w:rPr>
        <w:rFonts w:hint="eastAsia" w:ascii="黑体" w:hAnsi="Times New Roman" w:eastAsia="黑体"/>
        <w:b w:val="0"/>
        <w:i w:val="0"/>
        <w:sz w:val="21"/>
      </w:rPr>
    </w:lvl>
    <w:lvl w:ilvl="1" w:tentative="0">
      <w:start w:val="1"/>
      <w:numFmt w:val="decimal"/>
      <w:pStyle w:val="76"/>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77"/>
      <w:suff w:val="nothing"/>
      <w:lvlText w:val="%1.%2.%3　"/>
      <w:lvlJc w:val="left"/>
      <w:pPr>
        <w:ind w:left="0" w:firstLine="0"/>
      </w:pPr>
      <w:rPr>
        <w:rFonts w:hint="eastAsia" w:ascii="黑体" w:hAnsi="Times New Roman" w:eastAsia="黑体"/>
        <w:b w:val="0"/>
        <w:i w:val="0"/>
        <w:sz w:val="21"/>
      </w:rPr>
    </w:lvl>
    <w:lvl w:ilvl="3" w:tentative="0">
      <w:start w:val="1"/>
      <w:numFmt w:val="decimal"/>
      <w:pStyle w:val="78"/>
      <w:suff w:val="nothing"/>
      <w:lvlText w:val="%1.%2.%3.%4　"/>
      <w:lvlJc w:val="left"/>
      <w:pPr>
        <w:ind w:left="0" w:firstLine="0"/>
      </w:pPr>
      <w:rPr>
        <w:rFonts w:hint="eastAsia" w:ascii="黑体" w:hAnsi="Times New Roman" w:eastAsia="黑体"/>
        <w:b w:val="0"/>
        <w:i w:val="0"/>
        <w:sz w:val="21"/>
      </w:rPr>
    </w:lvl>
    <w:lvl w:ilvl="4" w:tentative="0">
      <w:start w:val="1"/>
      <w:numFmt w:val="decimal"/>
      <w:pStyle w:val="79"/>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CEA2025"/>
    <w:multiLevelType w:val="multilevel"/>
    <w:tmpl w:val="6CEA2025"/>
    <w:lvl w:ilvl="0" w:tentative="0">
      <w:start w:val="1"/>
      <w:numFmt w:val="none"/>
      <w:pStyle w:val="55"/>
      <w:suff w:val="nothing"/>
      <w:lvlText w:val="%1"/>
      <w:lvlJc w:val="left"/>
      <w:pPr>
        <w:ind w:left="0" w:firstLine="0"/>
      </w:pPr>
      <w:rPr>
        <w:rFonts w:hint="default" w:ascii="Times New Roman" w:hAnsi="Times New Roman"/>
        <w:b/>
        <w:i w:val="0"/>
        <w:sz w:val="21"/>
      </w:rPr>
    </w:lvl>
    <w:lvl w:ilvl="1" w:tentative="0">
      <w:start w:val="1"/>
      <w:numFmt w:val="decimal"/>
      <w:pStyle w:val="58"/>
      <w:suff w:val="nothing"/>
      <w:lvlText w:val="%1%2　"/>
      <w:lvlJc w:val="left"/>
      <w:pPr>
        <w:ind w:left="3465" w:firstLine="0"/>
      </w:pPr>
      <w:rPr>
        <w:rFonts w:hint="eastAsia" w:ascii="黑体" w:hAnsi="Times New Roman" w:eastAsia="黑体"/>
        <w:b w:val="0"/>
        <w:i w:val="0"/>
        <w:sz w:val="28"/>
        <w:szCs w:val="28"/>
      </w:rPr>
    </w:lvl>
    <w:lvl w:ilvl="2" w:tentative="0">
      <w:start w:val="1"/>
      <w:numFmt w:val="none"/>
      <w:pStyle w:val="59"/>
      <w:suff w:val="nothing"/>
      <w:lvlText w:val="2.0.1　"/>
      <w:lvlJc w:val="left"/>
      <w:pPr>
        <w:ind w:left="105" w:firstLine="0"/>
      </w:pPr>
      <w:rPr>
        <w:rFonts w:hint="eastAsia" w:ascii="黑体" w:hAnsi="Times New Roman" w:eastAsia="黑体"/>
        <w:b w:val="0"/>
        <w:i w:val="0"/>
        <w:sz w:val="21"/>
      </w:rPr>
    </w:lvl>
    <w:lvl w:ilvl="3" w:tentative="0">
      <w:start w:val="1"/>
      <w:numFmt w:val="decimal"/>
      <w:pStyle w:val="60"/>
      <w:suff w:val="nothing"/>
      <w:lvlText w:val="%1%2.%3.%4　"/>
      <w:lvlJc w:val="left"/>
      <w:pPr>
        <w:ind w:left="10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pStyle w:val="105"/>
      <w:suff w:val="nothing"/>
      <w:lvlText w:val="%1%2.%3.%4.%5.%6　"/>
      <w:lvlJc w:val="left"/>
      <w:pPr>
        <w:ind w:left="0" w:firstLine="0"/>
      </w:pPr>
      <w:rPr>
        <w:rFonts w:hint="eastAsia" w:ascii="黑体" w:hAnsi="Times New Roman" w:eastAsia="黑体"/>
        <w:b w:val="0"/>
        <w:i w:val="0"/>
        <w:sz w:val="21"/>
      </w:rPr>
    </w:lvl>
    <w:lvl w:ilvl="6" w:tentative="0">
      <w:start w:val="1"/>
      <w:numFmt w:val="decimal"/>
      <w:pStyle w:val="2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6">
    <w:nsid w:val="6DBF04F4"/>
    <w:multiLevelType w:val="multilevel"/>
    <w:tmpl w:val="6DBF04F4"/>
    <w:lvl w:ilvl="0" w:tentative="0">
      <w:start w:val="1"/>
      <w:numFmt w:val="none"/>
      <w:pStyle w:val="115"/>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76933334"/>
    <w:multiLevelType w:val="multilevel"/>
    <w:tmpl w:val="76933334"/>
    <w:lvl w:ilvl="0" w:tentative="0">
      <w:start w:val="1"/>
      <w:numFmt w:val="none"/>
      <w:pStyle w:val="84"/>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5"/>
  </w:num>
  <w:num w:numId="2">
    <w:abstractNumId w:val="11"/>
  </w:num>
  <w:num w:numId="3">
    <w:abstractNumId w:val="2"/>
  </w:num>
  <w:num w:numId="4">
    <w:abstractNumId w:val="14"/>
  </w:num>
  <w:num w:numId="5">
    <w:abstractNumId w:val="7"/>
  </w:num>
  <w:num w:numId="6">
    <w:abstractNumId w:val="1"/>
  </w:num>
  <w:num w:numId="7">
    <w:abstractNumId w:val="17"/>
  </w:num>
  <w:num w:numId="8">
    <w:abstractNumId w:val="13"/>
  </w:num>
  <w:num w:numId="9">
    <w:abstractNumId w:val="12"/>
  </w:num>
  <w:num w:numId="10">
    <w:abstractNumId w:val="9"/>
  </w:num>
  <w:num w:numId="11">
    <w:abstractNumId w:val="4"/>
  </w:num>
  <w:num w:numId="12">
    <w:abstractNumId w:val="5"/>
  </w:num>
  <w:num w:numId="13">
    <w:abstractNumId w:val="6"/>
  </w:num>
  <w:num w:numId="14">
    <w:abstractNumId w:val="10"/>
  </w:num>
  <w:num w:numId="15">
    <w:abstractNumId w:val="3"/>
  </w:num>
  <w:num w:numId="16">
    <w:abstractNumId w:val="8"/>
  </w:num>
  <w:num w:numId="17">
    <w:abstractNumId w:val="1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oNotDisplayPageBoundaries w:val="1"/>
  <w:bordersDoNotSurroundHeader w:val="0"/>
  <w:bordersDoNotSurroundFooter w:val="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210"/>
  <w:evenAndOddHeaders w:val="1"/>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7B0"/>
    <w:rsid w:val="00003A7A"/>
    <w:rsid w:val="000049C8"/>
    <w:rsid w:val="00015A8A"/>
    <w:rsid w:val="0001634D"/>
    <w:rsid w:val="00016B73"/>
    <w:rsid w:val="000173CC"/>
    <w:rsid w:val="00020022"/>
    <w:rsid w:val="00022371"/>
    <w:rsid w:val="00022559"/>
    <w:rsid w:val="000266B9"/>
    <w:rsid w:val="00030A49"/>
    <w:rsid w:val="00030B7F"/>
    <w:rsid w:val="00033B1E"/>
    <w:rsid w:val="0003543C"/>
    <w:rsid w:val="00037E26"/>
    <w:rsid w:val="00037EC4"/>
    <w:rsid w:val="0004172A"/>
    <w:rsid w:val="0004219E"/>
    <w:rsid w:val="00042C2C"/>
    <w:rsid w:val="00047375"/>
    <w:rsid w:val="00047C6F"/>
    <w:rsid w:val="00047CDD"/>
    <w:rsid w:val="00052315"/>
    <w:rsid w:val="0006252F"/>
    <w:rsid w:val="00065BB0"/>
    <w:rsid w:val="000718E5"/>
    <w:rsid w:val="000749E3"/>
    <w:rsid w:val="00075C3C"/>
    <w:rsid w:val="00077343"/>
    <w:rsid w:val="000817AF"/>
    <w:rsid w:val="000819DE"/>
    <w:rsid w:val="0008459F"/>
    <w:rsid w:val="00085AD1"/>
    <w:rsid w:val="0008715D"/>
    <w:rsid w:val="00087395"/>
    <w:rsid w:val="000900C1"/>
    <w:rsid w:val="00092B44"/>
    <w:rsid w:val="000A1A81"/>
    <w:rsid w:val="000A296B"/>
    <w:rsid w:val="000A2CEB"/>
    <w:rsid w:val="000A34FA"/>
    <w:rsid w:val="000A575D"/>
    <w:rsid w:val="000A65B9"/>
    <w:rsid w:val="000A7C0B"/>
    <w:rsid w:val="000B0475"/>
    <w:rsid w:val="000B1A33"/>
    <w:rsid w:val="000C3583"/>
    <w:rsid w:val="000C39D8"/>
    <w:rsid w:val="000C4025"/>
    <w:rsid w:val="000C6664"/>
    <w:rsid w:val="000D003A"/>
    <w:rsid w:val="000D0CB9"/>
    <w:rsid w:val="000D0FAA"/>
    <w:rsid w:val="000D2203"/>
    <w:rsid w:val="000D3205"/>
    <w:rsid w:val="000D38CC"/>
    <w:rsid w:val="000D4348"/>
    <w:rsid w:val="000D6830"/>
    <w:rsid w:val="000D75B1"/>
    <w:rsid w:val="000E1CD8"/>
    <w:rsid w:val="000E2EEE"/>
    <w:rsid w:val="000F08B2"/>
    <w:rsid w:val="000F1081"/>
    <w:rsid w:val="000F2DF0"/>
    <w:rsid w:val="000F3637"/>
    <w:rsid w:val="000F4499"/>
    <w:rsid w:val="000F7342"/>
    <w:rsid w:val="00101271"/>
    <w:rsid w:val="00102BCB"/>
    <w:rsid w:val="001039F9"/>
    <w:rsid w:val="00103B1D"/>
    <w:rsid w:val="00104327"/>
    <w:rsid w:val="00104C99"/>
    <w:rsid w:val="00105EA5"/>
    <w:rsid w:val="0010643E"/>
    <w:rsid w:val="00106D36"/>
    <w:rsid w:val="00107C47"/>
    <w:rsid w:val="00110001"/>
    <w:rsid w:val="001106DE"/>
    <w:rsid w:val="00111BAE"/>
    <w:rsid w:val="00112213"/>
    <w:rsid w:val="001140F6"/>
    <w:rsid w:val="00114E6B"/>
    <w:rsid w:val="00116234"/>
    <w:rsid w:val="00124465"/>
    <w:rsid w:val="001254F2"/>
    <w:rsid w:val="00127BFB"/>
    <w:rsid w:val="00127CA5"/>
    <w:rsid w:val="001309E5"/>
    <w:rsid w:val="001323CB"/>
    <w:rsid w:val="001330BD"/>
    <w:rsid w:val="0013329E"/>
    <w:rsid w:val="00133D95"/>
    <w:rsid w:val="001340DC"/>
    <w:rsid w:val="00134681"/>
    <w:rsid w:val="001350E4"/>
    <w:rsid w:val="00136A1B"/>
    <w:rsid w:val="00141012"/>
    <w:rsid w:val="001416E6"/>
    <w:rsid w:val="00141D7D"/>
    <w:rsid w:val="00143E48"/>
    <w:rsid w:val="00143F22"/>
    <w:rsid w:val="001445B3"/>
    <w:rsid w:val="001474F6"/>
    <w:rsid w:val="00150AEF"/>
    <w:rsid w:val="0015195B"/>
    <w:rsid w:val="00154976"/>
    <w:rsid w:val="00154CBA"/>
    <w:rsid w:val="0015650C"/>
    <w:rsid w:val="00157054"/>
    <w:rsid w:val="00157147"/>
    <w:rsid w:val="001573FC"/>
    <w:rsid w:val="0015751B"/>
    <w:rsid w:val="00157859"/>
    <w:rsid w:val="00157C2E"/>
    <w:rsid w:val="00161953"/>
    <w:rsid w:val="00163139"/>
    <w:rsid w:val="00164C2D"/>
    <w:rsid w:val="00171601"/>
    <w:rsid w:val="00173011"/>
    <w:rsid w:val="00174555"/>
    <w:rsid w:val="00174706"/>
    <w:rsid w:val="00175A3C"/>
    <w:rsid w:val="00175AE8"/>
    <w:rsid w:val="001770A5"/>
    <w:rsid w:val="001779F5"/>
    <w:rsid w:val="00180407"/>
    <w:rsid w:val="00181ABB"/>
    <w:rsid w:val="001831D9"/>
    <w:rsid w:val="0018582C"/>
    <w:rsid w:val="00187A0A"/>
    <w:rsid w:val="00190470"/>
    <w:rsid w:val="00191E85"/>
    <w:rsid w:val="0019507E"/>
    <w:rsid w:val="0019580C"/>
    <w:rsid w:val="001973B5"/>
    <w:rsid w:val="001A1CFF"/>
    <w:rsid w:val="001A3D9C"/>
    <w:rsid w:val="001A416E"/>
    <w:rsid w:val="001A5C6C"/>
    <w:rsid w:val="001A69B1"/>
    <w:rsid w:val="001A7462"/>
    <w:rsid w:val="001A7AB5"/>
    <w:rsid w:val="001B175D"/>
    <w:rsid w:val="001B64A0"/>
    <w:rsid w:val="001B655F"/>
    <w:rsid w:val="001B656F"/>
    <w:rsid w:val="001C0FB3"/>
    <w:rsid w:val="001C3020"/>
    <w:rsid w:val="001C314E"/>
    <w:rsid w:val="001C4A6A"/>
    <w:rsid w:val="001C6AE9"/>
    <w:rsid w:val="001C6CB6"/>
    <w:rsid w:val="001D061E"/>
    <w:rsid w:val="001D11D8"/>
    <w:rsid w:val="001D1433"/>
    <w:rsid w:val="001D219E"/>
    <w:rsid w:val="001D58EB"/>
    <w:rsid w:val="001D5FB4"/>
    <w:rsid w:val="001E0DD7"/>
    <w:rsid w:val="001E0DF1"/>
    <w:rsid w:val="001E162E"/>
    <w:rsid w:val="001E1909"/>
    <w:rsid w:val="001E303B"/>
    <w:rsid w:val="001E4A87"/>
    <w:rsid w:val="001E57CC"/>
    <w:rsid w:val="001E588F"/>
    <w:rsid w:val="001E5B45"/>
    <w:rsid w:val="001E635B"/>
    <w:rsid w:val="001E662C"/>
    <w:rsid w:val="001E785E"/>
    <w:rsid w:val="001F3A31"/>
    <w:rsid w:val="001F3ADA"/>
    <w:rsid w:val="001F54AB"/>
    <w:rsid w:val="001F79E3"/>
    <w:rsid w:val="001F7C08"/>
    <w:rsid w:val="001F7FE9"/>
    <w:rsid w:val="002005FF"/>
    <w:rsid w:val="00200684"/>
    <w:rsid w:val="00200B74"/>
    <w:rsid w:val="00202C62"/>
    <w:rsid w:val="0020474E"/>
    <w:rsid w:val="00205CC4"/>
    <w:rsid w:val="002063BA"/>
    <w:rsid w:val="00210CF1"/>
    <w:rsid w:val="00211255"/>
    <w:rsid w:val="00211274"/>
    <w:rsid w:val="002115D8"/>
    <w:rsid w:val="00211626"/>
    <w:rsid w:val="00211EC5"/>
    <w:rsid w:val="0021562E"/>
    <w:rsid w:val="002175AB"/>
    <w:rsid w:val="00217F69"/>
    <w:rsid w:val="002211F8"/>
    <w:rsid w:val="00221CDA"/>
    <w:rsid w:val="002246D8"/>
    <w:rsid w:val="00226212"/>
    <w:rsid w:val="002271F1"/>
    <w:rsid w:val="002317DC"/>
    <w:rsid w:val="00231F7E"/>
    <w:rsid w:val="00233058"/>
    <w:rsid w:val="002330E9"/>
    <w:rsid w:val="0023323F"/>
    <w:rsid w:val="002335FE"/>
    <w:rsid w:val="00234563"/>
    <w:rsid w:val="00235A82"/>
    <w:rsid w:val="00235B7D"/>
    <w:rsid w:val="002410F1"/>
    <w:rsid w:val="00241141"/>
    <w:rsid w:val="00242719"/>
    <w:rsid w:val="002438EE"/>
    <w:rsid w:val="002440E1"/>
    <w:rsid w:val="00244BDA"/>
    <w:rsid w:val="0024661E"/>
    <w:rsid w:val="00251C55"/>
    <w:rsid w:val="002551B4"/>
    <w:rsid w:val="00260B85"/>
    <w:rsid w:val="00263E14"/>
    <w:rsid w:val="0026408F"/>
    <w:rsid w:val="0026606F"/>
    <w:rsid w:val="00267B26"/>
    <w:rsid w:val="00271424"/>
    <w:rsid w:val="00272AF8"/>
    <w:rsid w:val="00272EAE"/>
    <w:rsid w:val="002730C6"/>
    <w:rsid w:val="00273772"/>
    <w:rsid w:val="00273BC3"/>
    <w:rsid w:val="002771C2"/>
    <w:rsid w:val="002818C5"/>
    <w:rsid w:val="002841A8"/>
    <w:rsid w:val="00284D92"/>
    <w:rsid w:val="0028612E"/>
    <w:rsid w:val="00287EF2"/>
    <w:rsid w:val="00292042"/>
    <w:rsid w:val="00292BAB"/>
    <w:rsid w:val="002938A3"/>
    <w:rsid w:val="00296251"/>
    <w:rsid w:val="00296E1C"/>
    <w:rsid w:val="00297397"/>
    <w:rsid w:val="002A0EC7"/>
    <w:rsid w:val="002A167F"/>
    <w:rsid w:val="002A2446"/>
    <w:rsid w:val="002A2AEF"/>
    <w:rsid w:val="002A415D"/>
    <w:rsid w:val="002A5C35"/>
    <w:rsid w:val="002A6AAA"/>
    <w:rsid w:val="002A74F8"/>
    <w:rsid w:val="002B348F"/>
    <w:rsid w:val="002B4854"/>
    <w:rsid w:val="002B4BAC"/>
    <w:rsid w:val="002B5D0F"/>
    <w:rsid w:val="002B6584"/>
    <w:rsid w:val="002B7A4A"/>
    <w:rsid w:val="002C202D"/>
    <w:rsid w:val="002C3A6F"/>
    <w:rsid w:val="002C4449"/>
    <w:rsid w:val="002C6488"/>
    <w:rsid w:val="002C74B5"/>
    <w:rsid w:val="002C7EF4"/>
    <w:rsid w:val="002D03CC"/>
    <w:rsid w:val="002D065B"/>
    <w:rsid w:val="002D0BC9"/>
    <w:rsid w:val="002D2435"/>
    <w:rsid w:val="002D2EB1"/>
    <w:rsid w:val="002D77A2"/>
    <w:rsid w:val="002E089B"/>
    <w:rsid w:val="002E47E1"/>
    <w:rsid w:val="002E4968"/>
    <w:rsid w:val="002E6D1C"/>
    <w:rsid w:val="002E729B"/>
    <w:rsid w:val="002F2F44"/>
    <w:rsid w:val="002F2F5F"/>
    <w:rsid w:val="002F353D"/>
    <w:rsid w:val="002F43E4"/>
    <w:rsid w:val="002F77D8"/>
    <w:rsid w:val="0030123F"/>
    <w:rsid w:val="00301F79"/>
    <w:rsid w:val="00302DD1"/>
    <w:rsid w:val="00303AF8"/>
    <w:rsid w:val="003058C6"/>
    <w:rsid w:val="00305BFD"/>
    <w:rsid w:val="003073BB"/>
    <w:rsid w:val="003074CC"/>
    <w:rsid w:val="00310860"/>
    <w:rsid w:val="003116A7"/>
    <w:rsid w:val="00311AE5"/>
    <w:rsid w:val="00312959"/>
    <w:rsid w:val="00317F48"/>
    <w:rsid w:val="0032185F"/>
    <w:rsid w:val="00323840"/>
    <w:rsid w:val="00323D50"/>
    <w:rsid w:val="00324944"/>
    <w:rsid w:val="003276AC"/>
    <w:rsid w:val="00331080"/>
    <w:rsid w:val="00333521"/>
    <w:rsid w:val="00334847"/>
    <w:rsid w:val="00336B12"/>
    <w:rsid w:val="00336BDF"/>
    <w:rsid w:val="003425DA"/>
    <w:rsid w:val="003439D4"/>
    <w:rsid w:val="00343C49"/>
    <w:rsid w:val="00346D0F"/>
    <w:rsid w:val="003503A0"/>
    <w:rsid w:val="00351F52"/>
    <w:rsid w:val="00352392"/>
    <w:rsid w:val="00353123"/>
    <w:rsid w:val="00355310"/>
    <w:rsid w:val="0035633D"/>
    <w:rsid w:val="003577F1"/>
    <w:rsid w:val="003636E2"/>
    <w:rsid w:val="00364D18"/>
    <w:rsid w:val="0036544E"/>
    <w:rsid w:val="00366A04"/>
    <w:rsid w:val="00366E4C"/>
    <w:rsid w:val="0036776B"/>
    <w:rsid w:val="00374FE5"/>
    <w:rsid w:val="00377AEF"/>
    <w:rsid w:val="003815F4"/>
    <w:rsid w:val="00382F9E"/>
    <w:rsid w:val="00383EFE"/>
    <w:rsid w:val="00384260"/>
    <w:rsid w:val="00384830"/>
    <w:rsid w:val="00384D4D"/>
    <w:rsid w:val="00390735"/>
    <w:rsid w:val="003920DA"/>
    <w:rsid w:val="00395AFC"/>
    <w:rsid w:val="0039626E"/>
    <w:rsid w:val="0039714D"/>
    <w:rsid w:val="00397603"/>
    <w:rsid w:val="00397C62"/>
    <w:rsid w:val="003A1CB1"/>
    <w:rsid w:val="003A2EAF"/>
    <w:rsid w:val="003A3061"/>
    <w:rsid w:val="003A599D"/>
    <w:rsid w:val="003A5F62"/>
    <w:rsid w:val="003A7315"/>
    <w:rsid w:val="003B1A6A"/>
    <w:rsid w:val="003B22EB"/>
    <w:rsid w:val="003B231C"/>
    <w:rsid w:val="003B4A58"/>
    <w:rsid w:val="003C0E1C"/>
    <w:rsid w:val="003C2089"/>
    <w:rsid w:val="003C3288"/>
    <w:rsid w:val="003C43FC"/>
    <w:rsid w:val="003C5312"/>
    <w:rsid w:val="003C7962"/>
    <w:rsid w:val="003D07E0"/>
    <w:rsid w:val="003D091E"/>
    <w:rsid w:val="003D2592"/>
    <w:rsid w:val="003D70A5"/>
    <w:rsid w:val="003E1778"/>
    <w:rsid w:val="003E332E"/>
    <w:rsid w:val="003E37C3"/>
    <w:rsid w:val="003E5089"/>
    <w:rsid w:val="003E5D20"/>
    <w:rsid w:val="003F0560"/>
    <w:rsid w:val="003F2FE7"/>
    <w:rsid w:val="003F3848"/>
    <w:rsid w:val="003F66FD"/>
    <w:rsid w:val="0040134E"/>
    <w:rsid w:val="00406499"/>
    <w:rsid w:val="00410CA5"/>
    <w:rsid w:val="00410FB9"/>
    <w:rsid w:val="00411432"/>
    <w:rsid w:val="00415192"/>
    <w:rsid w:val="00417ABD"/>
    <w:rsid w:val="004218FC"/>
    <w:rsid w:val="00422D34"/>
    <w:rsid w:val="00430C1F"/>
    <w:rsid w:val="0043126C"/>
    <w:rsid w:val="00433175"/>
    <w:rsid w:val="00433517"/>
    <w:rsid w:val="00441016"/>
    <w:rsid w:val="00447E64"/>
    <w:rsid w:val="00450FE7"/>
    <w:rsid w:val="00456997"/>
    <w:rsid w:val="004601A1"/>
    <w:rsid w:val="00461849"/>
    <w:rsid w:val="00462056"/>
    <w:rsid w:val="0046351F"/>
    <w:rsid w:val="0046375D"/>
    <w:rsid w:val="0046479C"/>
    <w:rsid w:val="00466538"/>
    <w:rsid w:val="00470996"/>
    <w:rsid w:val="00476402"/>
    <w:rsid w:val="00480A9D"/>
    <w:rsid w:val="00484B4E"/>
    <w:rsid w:val="00490C0A"/>
    <w:rsid w:val="004924C4"/>
    <w:rsid w:val="004932C9"/>
    <w:rsid w:val="00496737"/>
    <w:rsid w:val="004A1A84"/>
    <w:rsid w:val="004A3E03"/>
    <w:rsid w:val="004A505E"/>
    <w:rsid w:val="004A63B0"/>
    <w:rsid w:val="004A76D7"/>
    <w:rsid w:val="004B160D"/>
    <w:rsid w:val="004B1A70"/>
    <w:rsid w:val="004B1E90"/>
    <w:rsid w:val="004B3E9B"/>
    <w:rsid w:val="004B5012"/>
    <w:rsid w:val="004B58B5"/>
    <w:rsid w:val="004B7643"/>
    <w:rsid w:val="004B7806"/>
    <w:rsid w:val="004C1DAD"/>
    <w:rsid w:val="004C2D8C"/>
    <w:rsid w:val="004C518E"/>
    <w:rsid w:val="004C6BD2"/>
    <w:rsid w:val="004C791B"/>
    <w:rsid w:val="004D0AED"/>
    <w:rsid w:val="004D3F5F"/>
    <w:rsid w:val="004D5A2B"/>
    <w:rsid w:val="004D77CD"/>
    <w:rsid w:val="004E0D35"/>
    <w:rsid w:val="004E1AA2"/>
    <w:rsid w:val="004E5992"/>
    <w:rsid w:val="004F07E0"/>
    <w:rsid w:val="004F0C1F"/>
    <w:rsid w:val="004F34E6"/>
    <w:rsid w:val="004F4F9E"/>
    <w:rsid w:val="004F54A5"/>
    <w:rsid w:val="00501601"/>
    <w:rsid w:val="00501EE6"/>
    <w:rsid w:val="00503CE0"/>
    <w:rsid w:val="0050470B"/>
    <w:rsid w:val="0050748B"/>
    <w:rsid w:val="0051072A"/>
    <w:rsid w:val="00511874"/>
    <w:rsid w:val="00511ED3"/>
    <w:rsid w:val="00512204"/>
    <w:rsid w:val="00514C19"/>
    <w:rsid w:val="00514CE5"/>
    <w:rsid w:val="00520FDC"/>
    <w:rsid w:val="00522216"/>
    <w:rsid w:val="00523092"/>
    <w:rsid w:val="00523169"/>
    <w:rsid w:val="005238E6"/>
    <w:rsid w:val="00524EFC"/>
    <w:rsid w:val="0052510F"/>
    <w:rsid w:val="00525B13"/>
    <w:rsid w:val="00525F35"/>
    <w:rsid w:val="00530571"/>
    <w:rsid w:val="0053099D"/>
    <w:rsid w:val="00530A5F"/>
    <w:rsid w:val="00531DC1"/>
    <w:rsid w:val="0053444B"/>
    <w:rsid w:val="005355FB"/>
    <w:rsid w:val="005370B0"/>
    <w:rsid w:val="00540436"/>
    <w:rsid w:val="00543703"/>
    <w:rsid w:val="005442B8"/>
    <w:rsid w:val="00544588"/>
    <w:rsid w:val="00545F32"/>
    <w:rsid w:val="00546DC0"/>
    <w:rsid w:val="00547265"/>
    <w:rsid w:val="00550643"/>
    <w:rsid w:val="00552103"/>
    <w:rsid w:val="00556A40"/>
    <w:rsid w:val="0056009C"/>
    <w:rsid w:val="0056338B"/>
    <w:rsid w:val="0056447E"/>
    <w:rsid w:val="00564744"/>
    <w:rsid w:val="005648FC"/>
    <w:rsid w:val="00565287"/>
    <w:rsid w:val="00565718"/>
    <w:rsid w:val="0056607C"/>
    <w:rsid w:val="00567675"/>
    <w:rsid w:val="00570BB3"/>
    <w:rsid w:val="005737EB"/>
    <w:rsid w:val="00573BB9"/>
    <w:rsid w:val="00573DEB"/>
    <w:rsid w:val="00581439"/>
    <w:rsid w:val="005827F6"/>
    <w:rsid w:val="00584163"/>
    <w:rsid w:val="00584DA8"/>
    <w:rsid w:val="005862DE"/>
    <w:rsid w:val="00586C0B"/>
    <w:rsid w:val="00587921"/>
    <w:rsid w:val="00587963"/>
    <w:rsid w:val="005902B4"/>
    <w:rsid w:val="0059036B"/>
    <w:rsid w:val="00591F08"/>
    <w:rsid w:val="005924A4"/>
    <w:rsid w:val="00594913"/>
    <w:rsid w:val="00595147"/>
    <w:rsid w:val="0059584B"/>
    <w:rsid w:val="00597B0D"/>
    <w:rsid w:val="005A2399"/>
    <w:rsid w:val="005A4ED2"/>
    <w:rsid w:val="005B132C"/>
    <w:rsid w:val="005B2BBA"/>
    <w:rsid w:val="005B31D2"/>
    <w:rsid w:val="005B419A"/>
    <w:rsid w:val="005B60E6"/>
    <w:rsid w:val="005B76F4"/>
    <w:rsid w:val="005C3680"/>
    <w:rsid w:val="005C4D2E"/>
    <w:rsid w:val="005C5612"/>
    <w:rsid w:val="005C63C7"/>
    <w:rsid w:val="005C74AE"/>
    <w:rsid w:val="005D3889"/>
    <w:rsid w:val="005D3954"/>
    <w:rsid w:val="005D491A"/>
    <w:rsid w:val="005D49B3"/>
    <w:rsid w:val="005E6CD5"/>
    <w:rsid w:val="005E7706"/>
    <w:rsid w:val="005E78CE"/>
    <w:rsid w:val="005F0121"/>
    <w:rsid w:val="005F036C"/>
    <w:rsid w:val="005F0C4D"/>
    <w:rsid w:val="005F25C0"/>
    <w:rsid w:val="005F51C0"/>
    <w:rsid w:val="005F57F8"/>
    <w:rsid w:val="00600516"/>
    <w:rsid w:val="00602F18"/>
    <w:rsid w:val="0061576E"/>
    <w:rsid w:val="006166B8"/>
    <w:rsid w:val="006214CC"/>
    <w:rsid w:val="00624220"/>
    <w:rsid w:val="0062683A"/>
    <w:rsid w:val="00626E04"/>
    <w:rsid w:val="00630D26"/>
    <w:rsid w:val="00631187"/>
    <w:rsid w:val="00633262"/>
    <w:rsid w:val="00635C43"/>
    <w:rsid w:val="00637E7C"/>
    <w:rsid w:val="0064057E"/>
    <w:rsid w:val="00643535"/>
    <w:rsid w:val="00643DA0"/>
    <w:rsid w:val="00644D1C"/>
    <w:rsid w:val="00650D1D"/>
    <w:rsid w:val="00651104"/>
    <w:rsid w:val="006524C7"/>
    <w:rsid w:val="006551D7"/>
    <w:rsid w:val="00656D6D"/>
    <w:rsid w:val="00662CD2"/>
    <w:rsid w:val="00663034"/>
    <w:rsid w:val="00664BAA"/>
    <w:rsid w:val="00665B6D"/>
    <w:rsid w:val="00665BF0"/>
    <w:rsid w:val="006712E2"/>
    <w:rsid w:val="006721E3"/>
    <w:rsid w:val="006734EB"/>
    <w:rsid w:val="006757CB"/>
    <w:rsid w:val="00675802"/>
    <w:rsid w:val="006759DC"/>
    <w:rsid w:val="0067722F"/>
    <w:rsid w:val="00677384"/>
    <w:rsid w:val="006812D6"/>
    <w:rsid w:val="00686728"/>
    <w:rsid w:val="00686E6F"/>
    <w:rsid w:val="00691C96"/>
    <w:rsid w:val="00694A03"/>
    <w:rsid w:val="00695FD2"/>
    <w:rsid w:val="0069632F"/>
    <w:rsid w:val="00697AA5"/>
    <w:rsid w:val="006A579E"/>
    <w:rsid w:val="006A7E48"/>
    <w:rsid w:val="006B1F33"/>
    <w:rsid w:val="006B2491"/>
    <w:rsid w:val="006B30CB"/>
    <w:rsid w:val="006B3E10"/>
    <w:rsid w:val="006B5609"/>
    <w:rsid w:val="006C12C9"/>
    <w:rsid w:val="006C1A72"/>
    <w:rsid w:val="006C28C2"/>
    <w:rsid w:val="006C53C8"/>
    <w:rsid w:val="006D09EC"/>
    <w:rsid w:val="006D1D64"/>
    <w:rsid w:val="006D1EE4"/>
    <w:rsid w:val="006D2146"/>
    <w:rsid w:val="006D216F"/>
    <w:rsid w:val="006D2660"/>
    <w:rsid w:val="006D4A2F"/>
    <w:rsid w:val="006D4BF1"/>
    <w:rsid w:val="006D5469"/>
    <w:rsid w:val="006E026F"/>
    <w:rsid w:val="006E09AD"/>
    <w:rsid w:val="006E164F"/>
    <w:rsid w:val="006E1D7B"/>
    <w:rsid w:val="006E3123"/>
    <w:rsid w:val="006E38E8"/>
    <w:rsid w:val="006E49F9"/>
    <w:rsid w:val="006E5E6C"/>
    <w:rsid w:val="006E5F95"/>
    <w:rsid w:val="006F0DAB"/>
    <w:rsid w:val="006F1C4E"/>
    <w:rsid w:val="006F2BBA"/>
    <w:rsid w:val="007007DA"/>
    <w:rsid w:val="00702CF1"/>
    <w:rsid w:val="00703E3D"/>
    <w:rsid w:val="00705E85"/>
    <w:rsid w:val="00705F45"/>
    <w:rsid w:val="007075EB"/>
    <w:rsid w:val="00707D72"/>
    <w:rsid w:val="0071130D"/>
    <w:rsid w:val="00712BDB"/>
    <w:rsid w:val="00713D52"/>
    <w:rsid w:val="00715894"/>
    <w:rsid w:val="0072033D"/>
    <w:rsid w:val="007243AA"/>
    <w:rsid w:val="007243C9"/>
    <w:rsid w:val="0072540C"/>
    <w:rsid w:val="00727128"/>
    <w:rsid w:val="00731BD6"/>
    <w:rsid w:val="00733F40"/>
    <w:rsid w:val="007400D1"/>
    <w:rsid w:val="00740DA7"/>
    <w:rsid w:val="00740EA8"/>
    <w:rsid w:val="00742A50"/>
    <w:rsid w:val="00742DB9"/>
    <w:rsid w:val="00743B98"/>
    <w:rsid w:val="007446BC"/>
    <w:rsid w:val="00745C9C"/>
    <w:rsid w:val="00746199"/>
    <w:rsid w:val="00746458"/>
    <w:rsid w:val="0075194C"/>
    <w:rsid w:val="007542B8"/>
    <w:rsid w:val="00754381"/>
    <w:rsid w:val="00757A88"/>
    <w:rsid w:val="00763A4E"/>
    <w:rsid w:val="00765F1E"/>
    <w:rsid w:val="00767EA5"/>
    <w:rsid w:val="00771B68"/>
    <w:rsid w:val="0077241B"/>
    <w:rsid w:val="0077418C"/>
    <w:rsid w:val="00775506"/>
    <w:rsid w:val="0078479F"/>
    <w:rsid w:val="00784EF9"/>
    <w:rsid w:val="00784F52"/>
    <w:rsid w:val="00784F93"/>
    <w:rsid w:val="00785230"/>
    <w:rsid w:val="00785943"/>
    <w:rsid w:val="007860C7"/>
    <w:rsid w:val="007867E7"/>
    <w:rsid w:val="00786ED9"/>
    <w:rsid w:val="0079114B"/>
    <w:rsid w:val="00791C98"/>
    <w:rsid w:val="00792B1D"/>
    <w:rsid w:val="0079363B"/>
    <w:rsid w:val="0079402A"/>
    <w:rsid w:val="007942B1"/>
    <w:rsid w:val="007947EC"/>
    <w:rsid w:val="007958E0"/>
    <w:rsid w:val="00797A90"/>
    <w:rsid w:val="00797AB7"/>
    <w:rsid w:val="007A4196"/>
    <w:rsid w:val="007A4202"/>
    <w:rsid w:val="007A44B2"/>
    <w:rsid w:val="007A7AB5"/>
    <w:rsid w:val="007B38B6"/>
    <w:rsid w:val="007B6AAB"/>
    <w:rsid w:val="007B781B"/>
    <w:rsid w:val="007B7981"/>
    <w:rsid w:val="007C035B"/>
    <w:rsid w:val="007C0B41"/>
    <w:rsid w:val="007C10CA"/>
    <w:rsid w:val="007C17F4"/>
    <w:rsid w:val="007C7A43"/>
    <w:rsid w:val="007D0EA6"/>
    <w:rsid w:val="007D5A4C"/>
    <w:rsid w:val="007D6516"/>
    <w:rsid w:val="007D6F85"/>
    <w:rsid w:val="007E0910"/>
    <w:rsid w:val="007E29A7"/>
    <w:rsid w:val="007E41E2"/>
    <w:rsid w:val="007E6875"/>
    <w:rsid w:val="007F0A1D"/>
    <w:rsid w:val="007F1ECD"/>
    <w:rsid w:val="007F2634"/>
    <w:rsid w:val="007F415E"/>
    <w:rsid w:val="0080008A"/>
    <w:rsid w:val="0080097E"/>
    <w:rsid w:val="008019B6"/>
    <w:rsid w:val="008026D9"/>
    <w:rsid w:val="00803642"/>
    <w:rsid w:val="0081108B"/>
    <w:rsid w:val="0081350F"/>
    <w:rsid w:val="00815563"/>
    <w:rsid w:val="0081637E"/>
    <w:rsid w:val="00816E77"/>
    <w:rsid w:val="00817CA3"/>
    <w:rsid w:val="008257D8"/>
    <w:rsid w:val="008300E8"/>
    <w:rsid w:val="00830EB5"/>
    <w:rsid w:val="00831463"/>
    <w:rsid w:val="00833DB1"/>
    <w:rsid w:val="008341A3"/>
    <w:rsid w:val="008374B1"/>
    <w:rsid w:val="00837C26"/>
    <w:rsid w:val="00841374"/>
    <w:rsid w:val="00842CBE"/>
    <w:rsid w:val="0084487E"/>
    <w:rsid w:val="008452E8"/>
    <w:rsid w:val="00845E2A"/>
    <w:rsid w:val="00846FE3"/>
    <w:rsid w:val="00847149"/>
    <w:rsid w:val="00850C0E"/>
    <w:rsid w:val="00853334"/>
    <w:rsid w:val="0085446B"/>
    <w:rsid w:val="00854CF2"/>
    <w:rsid w:val="00856093"/>
    <w:rsid w:val="008564AB"/>
    <w:rsid w:val="00857740"/>
    <w:rsid w:val="00860394"/>
    <w:rsid w:val="00863957"/>
    <w:rsid w:val="00864AFB"/>
    <w:rsid w:val="00864D03"/>
    <w:rsid w:val="00865097"/>
    <w:rsid w:val="00870C11"/>
    <w:rsid w:val="008730F5"/>
    <w:rsid w:val="00873BF1"/>
    <w:rsid w:val="00873ED6"/>
    <w:rsid w:val="00880841"/>
    <w:rsid w:val="008811EE"/>
    <w:rsid w:val="00881FFC"/>
    <w:rsid w:val="008828BC"/>
    <w:rsid w:val="00892325"/>
    <w:rsid w:val="008931C1"/>
    <w:rsid w:val="008939C9"/>
    <w:rsid w:val="00894B8C"/>
    <w:rsid w:val="00897570"/>
    <w:rsid w:val="00897657"/>
    <w:rsid w:val="008A110C"/>
    <w:rsid w:val="008A304C"/>
    <w:rsid w:val="008A5795"/>
    <w:rsid w:val="008A5AEC"/>
    <w:rsid w:val="008A6158"/>
    <w:rsid w:val="008A692A"/>
    <w:rsid w:val="008A709B"/>
    <w:rsid w:val="008A792A"/>
    <w:rsid w:val="008B0F86"/>
    <w:rsid w:val="008B29A3"/>
    <w:rsid w:val="008B31B2"/>
    <w:rsid w:val="008B3625"/>
    <w:rsid w:val="008B3B95"/>
    <w:rsid w:val="008B41CA"/>
    <w:rsid w:val="008B4483"/>
    <w:rsid w:val="008B6714"/>
    <w:rsid w:val="008C0798"/>
    <w:rsid w:val="008C140C"/>
    <w:rsid w:val="008C3293"/>
    <w:rsid w:val="008C5256"/>
    <w:rsid w:val="008C58D9"/>
    <w:rsid w:val="008C5D01"/>
    <w:rsid w:val="008C7454"/>
    <w:rsid w:val="008D01D7"/>
    <w:rsid w:val="008D1CEB"/>
    <w:rsid w:val="008D4497"/>
    <w:rsid w:val="008D55FF"/>
    <w:rsid w:val="008D59AB"/>
    <w:rsid w:val="008D77E0"/>
    <w:rsid w:val="008E07CD"/>
    <w:rsid w:val="008E0E1E"/>
    <w:rsid w:val="008E17D7"/>
    <w:rsid w:val="008E2D81"/>
    <w:rsid w:val="008E5510"/>
    <w:rsid w:val="008E555E"/>
    <w:rsid w:val="008E66A1"/>
    <w:rsid w:val="008E6BD1"/>
    <w:rsid w:val="008E7175"/>
    <w:rsid w:val="008E7E65"/>
    <w:rsid w:val="008F26B9"/>
    <w:rsid w:val="008F2AC3"/>
    <w:rsid w:val="008F3DF7"/>
    <w:rsid w:val="008F4853"/>
    <w:rsid w:val="008F71C4"/>
    <w:rsid w:val="009001C8"/>
    <w:rsid w:val="009005D3"/>
    <w:rsid w:val="00901886"/>
    <w:rsid w:val="00902E32"/>
    <w:rsid w:val="00902EFD"/>
    <w:rsid w:val="00903313"/>
    <w:rsid w:val="009033DF"/>
    <w:rsid w:val="00904BFD"/>
    <w:rsid w:val="00910930"/>
    <w:rsid w:val="00911170"/>
    <w:rsid w:val="00912F07"/>
    <w:rsid w:val="00913CA1"/>
    <w:rsid w:val="00915341"/>
    <w:rsid w:val="00915AF3"/>
    <w:rsid w:val="00916F30"/>
    <w:rsid w:val="009170EA"/>
    <w:rsid w:val="0091786E"/>
    <w:rsid w:val="009220BF"/>
    <w:rsid w:val="00922422"/>
    <w:rsid w:val="00925A39"/>
    <w:rsid w:val="00927B0B"/>
    <w:rsid w:val="00927F21"/>
    <w:rsid w:val="00930335"/>
    <w:rsid w:val="009336FE"/>
    <w:rsid w:val="00933E11"/>
    <w:rsid w:val="00941EA6"/>
    <w:rsid w:val="00943605"/>
    <w:rsid w:val="009447C1"/>
    <w:rsid w:val="00945C98"/>
    <w:rsid w:val="009508D0"/>
    <w:rsid w:val="00951160"/>
    <w:rsid w:val="00953879"/>
    <w:rsid w:val="00953B7D"/>
    <w:rsid w:val="009546CE"/>
    <w:rsid w:val="00954AB7"/>
    <w:rsid w:val="00956D1E"/>
    <w:rsid w:val="00960B6E"/>
    <w:rsid w:val="00962DDA"/>
    <w:rsid w:val="00967CE5"/>
    <w:rsid w:val="00970A85"/>
    <w:rsid w:val="0097274B"/>
    <w:rsid w:val="009745CE"/>
    <w:rsid w:val="009775D5"/>
    <w:rsid w:val="009806ED"/>
    <w:rsid w:val="00980A65"/>
    <w:rsid w:val="009831B4"/>
    <w:rsid w:val="009840E3"/>
    <w:rsid w:val="0098416C"/>
    <w:rsid w:val="009841BF"/>
    <w:rsid w:val="00984CE5"/>
    <w:rsid w:val="00986491"/>
    <w:rsid w:val="009872AD"/>
    <w:rsid w:val="0099109E"/>
    <w:rsid w:val="00993BBF"/>
    <w:rsid w:val="00994043"/>
    <w:rsid w:val="0099635C"/>
    <w:rsid w:val="009A2B2C"/>
    <w:rsid w:val="009A4DE3"/>
    <w:rsid w:val="009B36C3"/>
    <w:rsid w:val="009B4457"/>
    <w:rsid w:val="009B6199"/>
    <w:rsid w:val="009B64FF"/>
    <w:rsid w:val="009B6BD5"/>
    <w:rsid w:val="009C0AFC"/>
    <w:rsid w:val="009C0FB1"/>
    <w:rsid w:val="009C1EC2"/>
    <w:rsid w:val="009C24E0"/>
    <w:rsid w:val="009C304A"/>
    <w:rsid w:val="009C4209"/>
    <w:rsid w:val="009C4A11"/>
    <w:rsid w:val="009C5652"/>
    <w:rsid w:val="009C6F6A"/>
    <w:rsid w:val="009D0403"/>
    <w:rsid w:val="009D11F9"/>
    <w:rsid w:val="009D1633"/>
    <w:rsid w:val="009D6818"/>
    <w:rsid w:val="009D68DF"/>
    <w:rsid w:val="009E0411"/>
    <w:rsid w:val="009E1765"/>
    <w:rsid w:val="009E22C9"/>
    <w:rsid w:val="009E3B49"/>
    <w:rsid w:val="009E790E"/>
    <w:rsid w:val="009E7993"/>
    <w:rsid w:val="009E7F0B"/>
    <w:rsid w:val="009F4114"/>
    <w:rsid w:val="009F4F6E"/>
    <w:rsid w:val="009F5EAE"/>
    <w:rsid w:val="009F7EAA"/>
    <w:rsid w:val="00A02434"/>
    <w:rsid w:val="00A03DBB"/>
    <w:rsid w:val="00A05385"/>
    <w:rsid w:val="00A05E97"/>
    <w:rsid w:val="00A0754C"/>
    <w:rsid w:val="00A10500"/>
    <w:rsid w:val="00A12762"/>
    <w:rsid w:val="00A21973"/>
    <w:rsid w:val="00A238C9"/>
    <w:rsid w:val="00A27B36"/>
    <w:rsid w:val="00A35829"/>
    <w:rsid w:val="00A35896"/>
    <w:rsid w:val="00A36817"/>
    <w:rsid w:val="00A373A6"/>
    <w:rsid w:val="00A4101D"/>
    <w:rsid w:val="00A41082"/>
    <w:rsid w:val="00A44319"/>
    <w:rsid w:val="00A45D98"/>
    <w:rsid w:val="00A46044"/>
    <w:rsid w:val="00A50125"/>
    <w:rsid w:val="00A50564"/>
    <w:rsid w:val="00A50B04"/>
    <w:rsid w:val="00A52C56"/>
    <w:rsid w:val="00A54F53"/>
    <w:rsid w:val="00A55115"/>
    <w:rsid w:val="00A554C4"/>
    <w:rsid w:val="00A56932"/>
    <w:rsid w:val="00A6122B"/>
    <w:rsid w:val="00A629E8"/>
    <w:rsid w:val="00A62AB4"/>
    <w:rsid w:val="00A63665"/>
    <w:rsid w:val="00A6414C"/>
    <w:rsid w:val="00A66946"/>
    <w:rsid w:val="00A66FE8"/>
    <w:rsid w:val="00A736A9"/>
    <w:rsid w:val="00A7427E"/>
    <w:rsid w:val="00A755E5"/>
    <w:rsid w:val="00A76D10"/>
    <w:rsid w:val="00A8031C"/>
    <w:rsid w:val="00A83AD0"/>
    <w:rsid w:val="00A84A34"/>
    <w:rsid w:val="00A84E9F"/>
    <w:rsid w:val="00A91F2C"/>
    <w:rsid w:val="00A9324E"/>
    <w:rsid w:val="00A935F5"/>
    <w:rsid w:val="00A941B4"/>
    <w:rsid w:val="00A94C6C"/>
    <w:rsid w:val="00A96C54"/>
    <w:rsid w:val="00AA0F2A"/>
    <w:rsid w:val="00AA2F32"/>
    <w:rsid w:val="00AA36D3"/>
    <w:rsid w:val="00AA6315"/>
    <w:rsid w:val="00AA7E2C"/>
    <w:rsid w:val="00AB34FF"/>
    <w:rsid w:val="00AB5706"/>
    <w:rsid w:val="00AB5D99"/>
    <w:rsid w:val="00AB662E"/>
    <w:rsid w:val="00AB7767"/>
    <w:rsid w:val="00AB7AF5"/>
    <w:rsid w:val="00AC14A8"/>
    <w:rsid w:val="00AC4222"/>
    <w:rsid w:val="00AC4682"/>
    <w:rsid w:val="00AC4C49"/>
    <w:rsid w:val="00AD001D"/>
    <w:rsid w:val="00AD33C4"/>
    <w:rsid w:val="00AD5A6F"/>
    <w:rsid w:val="00AE25C5"/>
    <w:rsid w:val="00AE356F"/>
    <w:rsid w:val="00AE3D7C"/>
    <w:rsid w:val="00AE4E32"/>
    <w:rsid w:val="00AF0768"/>
    <w:rsid w:val="00AF091C"/>
    <w:rsid w:val="00AF528F"/>
    <w:rsid w:val="00B0145C"/>
    <w:rsid w:val="00B060EF"/>
    <w:rsid w:val="00B06D02"/>
    <w:rsid w:val="00B071DB"/>
    <w:rsid w:val="00B0728A"/>
    <w:rsid w:val="00B07369"/>
    <w:rsid w:val="00B07C2D"/>
    <w:rsid w:val="00B10786"/>
    <w:rsid w:val="00B10D99"/>
    <w:rsid w:val="00B11CF4"/>
    <w:rsid w:val="00B120AE"/>
    <w:rsid w:val="00B1297E"/>
    <w:rsid w:val="00B144BA"/>
    <w:rsid w:val="00B16B0B"/>
    <w:rsid w:val="00B17EE4"/>
    <w:rsid w:val="00B202D7"/>
    <w:rsid w:val="00B216C2"/>
    <w:rsid w:val="00B2394B"/>
    <w:rsid w:val="00B23D43"/>
    <w:rsid w:val="00B2494E"/>
    <w:rsid w:val="00B26B36"/>
    <w:rsid w:val="00B30A3C"/>
    <w:rsid w:val="00B31970"/>
    <w:rsid w:val="00B3220E"/>
    <w:rsid w:val="00B325AA"/>
    <w:rsid w:val="00B330C7"/>
    <w:rsid w:val="00B35195"/>
    <w:rsid w:val="00B4055C"/>
    <w:rsid w:val="00B4088D"/>
    <w:rsid w:val="00B411AA"/>
    <w:rsid w:val="00B41E3D"/>
    <w:rsid w:val="00B42CF5"/>
    <w:rsid w:val="00B453DF"/>
    <w:rsid w:val="00B45BD2"/>
    <w:rsid w:val="00B541FA"/>
    <w:rsid w:val="00B56CEF"/>
    <w:rsid w:val="00B578FA"/>
    <w:rsid w:val="00B57DA4"/>
    <w:rsid w:val="00B62271"/>
    <w:rsid w:val="00B63ADB"/>
    <w:rsid w:val="00B6463D"/>
    <w:rsid w:val="00B64BB6"/>
    <w:rsid w:val="00B651EA"/>
    <w:rsid w:val="00B65F25"/>
    <w:rsid w:val="00B66A4A"/>
    <w:rsid w:val="00B6764F"/>
    <w:rsid w:val="00B7114A"/>
    <w:rsid w:val="00B762FE"/>
    <w:rsid w:val="00B774A1"/>
    <w:rsid w:val="00B818DC"/>
    <w:rsid w:val="00B8301C"/>
    <w:rsid w:val="00B86975"/>
    <w:rsid w:val="00B92AAB"/>
    <w:rsid w:val="00B940CA"/>
    <w:rsid w:val="00B95804"/>
    <w:rsid w:val="00B96EB4"/>
    <w:rsid w:val="00BA32BB"/>
    <w:rsid w:val="00BA5D19"/>
    <w:rsid w:val="00BA76C6"/>
    <w:rsid w:val="00BA7F6A"/>
    <w:rsid w:val="00BB0925"/>
    <w:rsid w:val="00BB42AF"/>
    <w:rsid w:val="00BB4FA4"/>
    <w:rsid w:val="00BB5AF6"/>
    <w:rsid w:val="00BB78E4"/>
    <w:rsid w:val="00BC018C"/>
    <w:rsid w:val="00BC1858"/>
    <w:rsid w:val="00BC2764"/>
    <w:rsid w:val="00BC72F0"/>
    <w:rsid w:val="00BC7338"/>
    <w:rsid w:val="00BD20E9"/>
    <w:rsid w:val="00BD2AA3"/>
    <w:rsid w:val="00BD5A9C"/>
    <w:rsid w:val="00BE2EE0"/>
    <w:rsid w:val="00BE396A"/>
    <w:rsid w:val="00BE70FD"/>
    <w:rsid w:val="00BE77C5"/>
    <w:rsid w:val="00BE7A57"/>
    <w:rsid w:val="00BF0545"/>
    <w:rsid w:val="00BF1469"/>
    <w:rsid w:val="00BF338B"/>
    <w:rsid w:val="00BF7E02"/>
    <w:rsid w:val="00C02CAB"/>
    <w:rsid w:val="00C03C00"/>
    <w:rsid w:val="00C03F27"/>
    <w:rsid w:val="00C0549A"/>
    <w:rsid w:val="00C059B1"/>
    <w:rsid w:val="00C05DF3"/>
    <w:rsid w:val="00C07042"/>
    <w:rsid w:val="00C07980"/>
    <w:rsid w:val="00C125FD"/>
    <w:rsid w:val="00C1472A"/>
    <w:rsid w:val="00C2198A"/>
    <w:rsid w:val="00C232FF"/>
    <w:rsid w:val="00C2548F"/>
    <w:rsid w:val="00C25D4D"/>
    <w:rsid w:val="00C31EA9"/>
    <w:rsid w:val="00C32B95"/>
    <w:rsid w:val="00C33024"/>
    <w:rsid w:val="00C3307A"/>
    <w:rsid w:val="00C34195"/>
    <w:rsid w:val="00C345D8"/>
    <w:rsid w:val="00C358D8"/>
    <w:rsid w:val="00C3650A"/>
    <w:rsid w:val="00C36B5B"/>
    <w:rsid w:val="00C36E09"/>
    <w:rsid w:val="00C37972"/>
    <w:rsid w:val="00C40858"/>
    <w:rsid w:val="00C42936"/>
    <w:rsid w:val="00C43B3D"/>
    <w:rsid w:val="00C456C0"/>
    <w:rsid w:val="00C45F0B"/>
    <w:rsid w:val="00C4698C"/>
    <w:rsid w:val="00C46CB2"/>
    <w:rsid w:val="00C46FAC"/>
    <w:rsid w:val="00C5079F"/>
    <w:rsid w:val="00C50D45"/>
    <w:rsid w:val="00C5180F"/>
    <w:rsid w:val="00C51C05"/>
    <w:rsid w:val="00C528D4"/>
    <w:rsid w:val="00C52A5D"/>
    <w:rsid w:val="00C52E2B"/>
    <w:rsid w:val="00C52F66"/>
    <w:rsid w:val="00C5321E"/>
    <w:rsid w:val="00C535DB"/>
    <w:rsid w:val="00C55AB2"/>
    <w:rsid w:val="00C55ACB"/>
    <w:rsid w:val="00C6138B"/>
    <w:rsid w:val="00C62D87"/>
    <w:rsid w:val="00C6450A"/>
    <w:rsid w:val="00C64993"/>
    <w:rsid w:val="00C659A9"/>
    <w:rsid w:val="00C66246"/>
    <w:rsid w:val="00C6664C"/>
    <w:rsid w:val="00C66A87"/>
    <w:rsid w:val="00C66AFF"/>
    <w:rsid w:val="00C70983"/>
    <w:rsid w:val="00C7246D"/>
    <w:rsid w:val="00C73775"/>
    <w:rsid w:val="00C74723"/>
    <w:rsid w:val="00C80A02"/>
    <w:rsid w:val="00C81CDF"/>
    <w:rsid w:val="00C92393"/>
    <w:rsid w:val="00C931F5"/>
    <w:rsid w:val="00C93F23"/>
    <w:rsid w:val="00C95B6C"/>
    <w:rsid w:val="00C9676C"/>
    <w:rsid w:val="00CA1351"/>
    <w:rsid w:val="00CA2233"/>
    <w:rsid w:val="00CA29A6"/>
    <w:rsid w:val="00CA3F69"/>
    <w:rsid w:val="00CA7191"/>
    <w:rsid w:val="00CB286B"/>
    <w:rsid w:val="00CB2901"/>
    <w:rsid w:val="00CB59D1"/>
    <w:rsid w:val="00CB7B4C"/>
    <w:rsid w:val="00CC458C"/>
    <w:rsid w:val="00CC6ADC"/>
    <w:rsid w:val="00CC7A02"/>
    <w:rsid w:val="00CD4BFF"/>
    <w:rsid w:val="00CD7434"/>
    <w:rsid w:val="00CE1192"/>
    <w:rsid w:val="00CE234C"/>
    <w:rsid w:val="00CE52D6"/>
    <w:rsid w:val="00CE6C1A"/>
    <w:rsid w:val="00CE73C5"/>
    <w:rsid w:val="00CE7778"/>
    <w:rsid w:val="00CE7B44"/>
    <w:rsid w:val="00CF01D0"/>
    <w:rsid w:val="00CF1CF7"/>
    <w:rsid w:val="00CF3531"/>
    <w:rsid w:val="00CF3B85"/>
    <w:rsid w:val="00CF51E9"/>
    <w:rsid w:val="00CF6A8F"/>
    <w:rsid w:val="00CF7607"/>
    <w:rsid w:val="00D0063D"/>
    <w:rsid w:val="00D010C7"/>
    <w:rsid w:val="00D01278"/>
    <w:rsid w:val="00D01FB5"/>
    <w:rsid w:val="00D020D2"/>
    <w:rsid w:val="00D05048"/>
    <w:rsid w:val="00D0750F"/>
    <w:rsid w:val="00D07AD4"/>
    <w:rsid w:val="00D10665"/>
    <w:rsid w:val="00D12A9F"/>
    <w:rsid w:val="00D14E5E"/>
    <w:rsid w:val="00D20484"/>
    <w:rsid w:val="00D20E15"/>
    <w:rsid w:val="00D262F9"/>
    <w:rsid w:val="00D27F85"/>
    <w:rsid w:val="00D30961"/>
    <w:rsid w:val="00D312D9"/>
    <w:rsid w:val="00D314A2"/>
    <w:rsid w:val="00D31D7E"/>
    <w:rsid w:val="00D328D2"/>
    <w:rsid w:val="00D348C5"/>
    <w:rsid w:val="00D35F90"/>
    <w:rsid w:val="00D3617F"/>
    <w:rsid w:val="00D3720A"/>
    <w:rsid w:val="00D4256C"/>
    <w:rsid w:val="00D47BB5"/>
    <w:rsid w:val="00D50161"/>
    <w:rsid w:val="00D52165"/>
    <w:rsid w:val="00D56058"/>
    <w:rsid w:val="00D566A8"/>
    <w:rsid w:val="00D63169"/>
    <w:rsid w:val="00D66A6D"/>
    <w:rsid w:val="00D66F24"/>
    <w:rsid w:val="00D67114"/>
    <w:rsid w:val="00D7137C"/>
    <w:rsid w:val="00D7256D"/>
    <w:rsid w:val="00D7348B"/>
    <w:rsid w:val="00D74A08"/>
    <w:rsid w:val="00D755D6"/>
    <w:rsid w:val="00D773C8"/>
    <w:rsid w:val="00D81246"/>
    <w:rsid w:val="00D85918"/>
    <w:rsid w:val="00D90DDE"/>
    <w:rsid w:val="00D92FAD"/>
    <w:rsid w:val="00D93AB4"/>
    <w:rsid w:val="00D948E4"/>
    <w:rsid w:val="00D96775"/>
    <w:rsid w:val="00D97987"/>
    <w:rsid w:val="00DA17B7"/>
    <w:rsid w:val="00DA1A83"/>
    <w:rsid w:val="00DA1E5A"/>
    <w:rsid w:val="00DA21E7"/>
    <w:rsid w:val="00DA358A"/>
    <w:rsid w:val="00DA3EA5"/>
    <w:rsid w:val="00DA47DE"/>
    <w:rsid w:val="00DA5D11"/>
    <w:rsid w:val="00DB0743"/>
    <w:rsid w:val="00DB0999"/>
    <w:rsid w:val="00DB18D6"/>
    <w:rsid w:val="00DB20AD"/>
    <w:rsid w:val="00DB2BC1"/>
    <w:rsid w:val="00DB43D5"/>
    <w:rsid w:val="00DC155C"/>
    <w:rsid w:val="00DC1C5A"/>
    <w:rsid w:val="00DC5DDE"/>
    <w:rsid w:val="00DC6298"/>
    <w:rsid w:val="00DC67A2"/>
    <w:rsid w:val="00DD0803"/>
    <w:rsid w:val="00DD158E"/>
    <w:rsid w:val="00DD428D"/>
    <w:rsid w:val="00DD66D1"/>
    <w:rsid w:val="00DD676B"/>
    <w:rsid w:val="00DD6D4F"/>
    <w:rsid w:val="00DE1DFB"/>
    <w:rsid w:val="00DE3E3A"/>
    <w:rsid w:val="00DE557F"/>
    <w:rsid w:val="00DE66A7"/>
    <w:rsid w:val="00DE74C7"/>
    <w:rsid w:val="00DE7F90"/>
    <w:rsid w:val="00DF0921"/>
    <w:rsid w:val="00DF0E20"/>
    <w:rsid w:val="00DF1052"/>
    <w:rsid w:val="00DF20CC"/>
    <w:rsid w:val="00DF4EC5"/>
    <w:rsid w:val="00E003C5"/>
    <w:rsid w:val="00E0050E"/>
    <w:rsid w:val="00E0212C"/>
    <w:rsid w:val="00E03373"/>
    <w:rsid w:val="00E035B3"/>
    <w:rsid w:val="00E055C7"/>
    <w:rsid w:val="00E05A18"/>
    <w:rsid w:val="00E05DC5"/>
    <w:rsid w:val="00E10034"/>
    <w:rsid w:val="00E12E00"/>
    <w:rsid w:val="00E131C2"/>
    <w:rsid w:val="00E13B2C"/>
    <w:rsid w:val="00E14C3E"/>
    <w:rsid w:val="00E16B9E"/>
    <w:rsid w:val="00E17383"/>
    <w:rsid w:val="00E17812"/>
    <w:rsid w:val="00E1799A"/>
    <w:rsid w:val="00E21AC8"/>
    <w:rsid w:val="00E235C4"/>
    <w:rsid w:val="00E237B2"/>
    <w:rsid w:val="00E259F8"/>
    <w:rsid w:val="00E303DD"/>
    <w:rsid w:val="00E31652"/>
    <w:rsid w:val="00E32317"/>
    <w:rsid w:val="00E36838"/>
    <w:rsid w:val="00E406F4"/>
    <w:rsid w:val="00E41F60"/>
    <w:rsid w:val="00E425CD"/>
    <w:rsid w:val="00E43D9A"/>
    <w:rsid w:val="00E47574"/>
    <w:rsid w:val="00E50FA7"/>
    <w:rsid w:val="00E52BB8"/>
    <w:rsid w:val="00E54562"/>
    <w:rsid w:val="00E57E7C"/>
    <w:rsid w:val="00E63207"/>
    <w:rsid w:val="00E66BF7"/>
    <w:rsid w:val="00E70120"/>
    <w:rsid w:val="00E70394"/>
    <w:rsid w:val="00E7050A"/>
    <w:rsid w:val="00E70D00"/>
    <w:rsid w:val="00E7166B"/>
    <w:rsid w:val="00E77C32"/>
    <w:rsid w:val="00E80790"/>
    <w:rsid w:val="00E80D77"/>
    <w:rsid w:val="00E811BD"/>
    <w:rsid w:val="00E82754"/>
    <w:rsid w:val="00E82CC4"/>
    <w:rsid w:val="00E83C2D"/>
    <w:rsid w:val="00E85888"/>
    <w:rsid w:val="00E8615B"/>
    <w:rsid w:val="00E866B6"/>
    <w:rsid w:val="00E8702F"/>
    <w:rsid w:val="00E87096"/>
    <w:rsid w:val="00E87283"/>
    <w:rsid w:val="00E9446A"/>
    <w:rsid w:val="00E96106"/>
    <w:rsid w:val="00E9696D"/>
    <w:rsid w:val="00E9784F"/>
    <w:rsid w:val="00EA1911"/>
    <w:rsid w:val="00EA3753"/>
    <w:rsid w:val="00EA4A08"/>
    <w:rsid w:val="00EA7258"/>
    <w:rsid w:val="00EA7B46"/>
    <w:rsid w:val="00EB0644"/>
    <w:rsid w:val="00EB1C0E"/>
    <w:rsid w:val="00EB3AE1"/>
    <w:rsid w:val="00EB3B49"/>
    <w:rsid w:val="00EB470E"/>
    <w:rsid w:val="00EB56B3"/>
    <w:rsid w:val="00EB7539"/>
    <w:rsid w:val="00EC1236"/>
    <w:rsid w:val="00EC1C0C"/>
    <w:rsid w:val="00EC3B0B"/>
    <w:rsid w:val="00EC3F1D"/>
    <w:rsid w:val="00EC4C36"/>
    <w:rsid w:val="00ED17EA"/>
    <w:rsid w:val="00ED55A3"/>
    <w:rsid w:val="00ED5986"/>
    <w:rsid w:val="00ED5FBA"/>
    <w:rsid w:val="00EE1876"/>
    <w:rsid w:val="00EE4081"/>
    <w:rsid w:val="00EE5A18"/>
    <w:rsid w:val="00EE63BE"/>
    <w:rsid w:val="00EE6755"/>
    <w:rsid w:val="00EE77C2"/>
    <w:rsid w:val="00EF01AD"/>
    <w:rsid w:val="00EF1E45"/>
    <w:rsid w:val="00EF1EB6"/>
    <w:rsid w:val="00EF2C2E"/>
    <w:rsid w:val="00EF2F09"/>
    <w:rsid w:val="00EF4DA8"/>
    <w:rsid w:val="00EF6CC8"/>
    <w:rsid w:val="00F02AB1"/>
    <w:rsid w:val="00F02FEB"/>
    <w:rsid w:val="00F0456E"/>
    <w:rsid w:val="00F075A3"/>
    <w:rsid w:val="00F10000"/>
    <w:rsid w:val="00F10DB7"/>
    <w:rsid w:val="00F120BD"/>
    <w:rsid w:val="00F138A3"/>
    <w:rsid w:val="00F160CD"/>
    <w:rsid w:val="00F17AEA"/>
    <w:rsid w:val="00F20C95"/>
    <w:rsid w:val="00F24EC7"/>
    <w:rsid w:val="00F267F5"/>
    <w:rsid w:val="00F3010D"/>
    <w:rsid w:val="00F32095"/>
    <w:rsid w:val="00F3440A"/>
    <w:rsid w:val="00F35DC1"/>
    <w:rsid w:val="00F37852"/>
    <w:rsid w:val="00F40794"/>
    <w:rsid w:val="00F41150"/>
    <w:rsid w:val="00F41FCC"/>
    <w:rsid w:val="00F437BF"/>
    <w:rsid w:val="00F44953"/>
    <w:rsid w:val="00F4589B"/>
    <w:rsid w:val="00F47674"/>
    <w:rsid w:val="00F47C36"/>
    <w:rsid w:val="00F50B06"/>
    <w:rsid w:val="00F53EBE"/>
    <w:rsid w:val="00F544FB"/>
    <w:rsid w:val="00F54754"/>
    <w:rsid w:val="00F6163A"/>
    <w:rsid w:val="00F64CD0"/>
    <w:rsid w:val="00F656B8"/>
    <w:rsid w:val="00F669E9"/>
    <w:rsid w:val="00F66F31"/>
    <w:rsid w:val="00F67B83"/>
    <w:rsid w:val="00F70F1B"/>
    <w:rsid w:val="00F72783"/>
    <w:rsid w:val="00F740CC"/>
    <w:rsid w:val="00F758F2"/>
    <w:rsid w:val="00F76805"/>
    <w:rsid w:val="00F80B28"/>
    <w:rsid w:val="00F810D0"/>
    <w:rsid w:val="00F82E2A"/>
    <w:rsid w:val="00F84810"/>
    <w:rsid w:val="00F84852"/>
    <w:rsid w:val="00F8546D"/>
    <w:rsid w:val="00F85D74"/>
    <w:rsid w:val="00F8744D"/>
    <w:rsid w:val="00F91941"/>
    <w:rsid w:val="00F9432B"/>
    <w:rsid w:val="00F95096"/>
    <w:rsid w:val="00F9519C"/>
    <w:rsid w:val="00F977B0"/>
    <w:rsid w:val="00FA25FD"/>
    <w:rsid w:val="00FA5627"/>
    <w:rsid w:val="00FA7883"/>
    <w:rsid w:val="00FB05B4"/>
    <w:rsid w:val="00FB18EB"/>
    <w:rsid w:val="00FB2B5A"/>
    <w:rsid w:val="00FB391D"/>
    <w:rsid w:val="00FB4EFF"/>
    <w:rsid w:val="00FB57DD"/>
    <w:rsid w:val="00FB6E7A"/>
    <w:rsid w:val="00FC5BC4"/>
    <w:rsid w:val="00FD08FB"/>
    <w:rsid w:val="00FD5C30"/>
    <w:rsid w:val="00FE094A"/>
    <w:rsid w:val="00FE32D1"/>
    <w:rsid w:val="00FE557F"/>
    <w:rsid w:val="00FE5A03"/>
    <w:rsid w:val="00FE5BB7"/>
    <w:rsid w:val="00FE674B"/>
    <w:rsid w:val="00FE686F"/>
    <w:rsid w:val="00FE71D3"/>
    <w:rsid w:val="00FF6C75"/>
    <w:rsid w:val="00FF6D4A"/>
    <w:rsid w:val="00FF729C"/>
    <w:rsid w:val="00FF7F77"/>
    <w:rsid w:val="01062EEC"/>
    <w:rsid w:val="010F4D74"/>
    <w:rsid w:val="011253ED"/>
    <w:rsid w:val="01141165"/>
    <w:rsid w:val="01197B09"/>
    <w:rsid w:val="01282E62"/>
    <w:rsid w:val="014A102B"/>
    <w:rsid w:val="01536131"/>
    <w:rsid w:val="015974C0"/>
    <w:rsid w:val="015D0D5E"/>
    <w:rsid w:val="01601055"/>
    <w:rsid w:val="01675739"/>
    <w:rsid w:val="016C134C"/>
    <w:rsid w:val="017E2A82"/>
    <w:rsid w:val="017E6F26"/>
    <w:rsid w:val="018207C5"/>
    <w:rsid w:val="018D7E8B"/>
    <w:rsid w:val="018F4C90"/>
    <w:rsid w:val="018F6A3E"/>
    <w:rsid w:val="0192652E"/>
    <w:rsid w:val="019D115B"/>
    <w:rsid w:val="01AF03B4"/>
    <w:rsid w:val="01B446F6"/>
    <w:rsid w:val="01B85F94"/>
    <w:rsid w:val="01CC5EE4"/>
    <w:rsid w:val="01D17056"/>
    <w:rsid w:val="01D37272"/>
    <w:rsid w:val="01D60B10"/>
    <w:rsid w:val="01E7687A"/>
    <w:rsid w:val="01F62F61"/>
    <w:rsid w:val="01FA65AD"/>
    <w:rsid w:val="01FB0577"/>
    <w:rsid w:val="01FD609D"/>
    <w:rsid w:val="0200382F"/>
    <w:rsid w:val="020624C0"/>
    <w:rsid w:val="0224187C"/>
    <w:rsid w:val="02300221"/>
    <w:rsid w:val="023A4BFB"/>
    <w:rsid w:val="023A6498"/>
    <w:rsid w:val="024217AC"/>
    <w:rsid w:val="0247556A"/>
    <w:rsid w:val="02551A35"/>
    <w:rsid w:val="025C6E8C"/>
    <w:rsid w:val="026003DA"/>
    <w:rsid w:val="02641C78"/>
    <w:rsid w:val="02775E4F"/>
    <w:rsid w:val="02785724"/>
    <w:rsid w:val="027F6AB2"/>
    <w:rsid w:val="028440C8"/>
    <w:rsid w:val="02866093"/>
    <w:rsid w:val="0288005D"/>
    <w:rsid w:val="028903AC"/>
    <w:rsid w:val="029167E5"/>
    <w:rsid w:val="02954528"/>
    <w:rsid w:val="02985DC6"/>
    <w:rsid w:val="029C69F6"/>
    <w:rsid w:val="02AB5AF9"/>
    <w:rsid w:val="02B524D4"/>
    <w:rsid w:val="02BF77F6"/>
    <w:rsid w:val="02D36DFE"/>
    <w:rsid w:val="02DF57A3"/>
    <w:rsid w:val="02E01C47"/>
    <w:rsid w:val="02EF1E8A"/>
    <w:rsid w:val="02F2197A"/>
    <w:rsid w:val="02F32FFC"/>
    <w:rsid w:val="02FF17CC"/>
    <w:rsid w:val="030B2A3C"/>
    <w:rsid w:val="030C57E9"/>
    <w:rsid w:val="030D0562"/>
    <w:rsid w:val="030D7801"/>
    <w:rsid w:val="030F6088"/>
    <w:rsid w:val="032338E1"/>
    <w:rsid w:val="03247659"/>
    <w:rsid w:val="0329549E"/>
    <w:rsid w:val="033C49A3"/>
    <w:rsid w:val="033F766D"/>
    <w:rsid w:val="0341645D"/>
    <w:rsid w:val="03455F4E"/>
    <w:rsid w:val="03502840"/>
    <w:rsid w:val="03577A2F"/>
    <w:rsid w:val="03597303"/>
    <w:rsid w:val="0361265C"/>
    <w:rsid w:val="03716D43"/>
    <w:rsid w:val="03743CA7"/>
    <w:rsid w:val="03766107"/>
    <w:rsid w:val="037E4FBC"/>
    <w:rsid w:val="0385634A"/>
    <w:rsid w:val="03870AF4"/>
    <w:rsid w:val="038A1BB2"/>
    <w:rsid w:val="039B7C06"/>
    <w:rsid w:val="039C3694"/>
    <w:rsid w:val="03A621D8"/>
    <w:rsid w:val="03B677F7"/>
    <w:rsid w:val="03BB7FBE"/>
    <w:rsid w:val="03D446F6"/>
    <w:rsid w:val="03DE3CAC"/>
    <w:rsid w:val="03E47515"/>
    <w:rsid w:val="03F1578E"/>
    <w:rsid w:val="03F4527E"/>
    <w:rsid w:val="03F50305"/>
    <w:rsid w:val="03FB660C"/>
    <w:rsid w:val="03FE7EAB"/>
    <w:rsid w:val="04043713"/>
    <w:rsid w:val="0405748B"/>
    <w:rsid w:val="040D00EE"/>
    <w:rsid w:val="041D6583"/>
    <w:rsid w:val="0425296F"/>
    <w:rsid w:val="04277401"/>
    <w:rsid w:val="0430275A"/>
    <w:rsid w:val="0431202E"/>
    <w:rsid w:val="04341004"/>
    <w:rsid w:val="04383E3C"/>
    <w:rsid w:val="043C7703"/>
    <w:rsid w:val="043F2DC9"/>
    <w:rsid w:val="045243B2"/>
    <w:rsid w:val="045A77D7"/>
    <w:rsid w:val="045D059F"/>
    <w:rsid w:val="045E30EF"/>
    <w:rsid w:val="04602913"/>
    <w:rsid w:val="04781A0B"/>
    <w:rsid w:val="047B14FB"/>
    <w:rsid w:val="047F2D99"/>
    <w:rsid w:val="04842AA6"/>
    <w:rsid w:val="048F4FD4"/>
    <w:rsid w:val="04906EED"/>
    <w:rsid w:val="049802FF"/>
    <w:rsid w:val="04A44EF6"/>
    <w:rsid w:val="04A9250C"/>
    <w:rsid w:val="04AE7B23"/>
    <w:rsid w:val="04B70785"/>
    <w:rsid w:val="04BB76ED"/>
    <w:rsid w:val="04C335CE"/>
    <w:rsid w:val="04D330E5"/>
    <w:rsid w:val="04DA2B62"/>
    <w:rsid w:val="04DE21B6"/>
    <w:rsid w:val="04DF5F2E"/>
    <w:rsid w:val="04E1218F"/>
    <w:rsid w:val="04E452F2"/>
    <w:rsid w:val="04E470A0"/>
    <w:rsid w:val="04E83035"/>
    <w:rsid w:val="04ED064B"/>
    <w:rsid w:val="04F35535"/>
    <w:rsid w:val="04FC088E"/>
    <w:rsid w:val="050339CA"/>
    <w:rsid w:val="05094D59"/>
    <w:rsid w:val="05096BB1"/>
    <w:rsid w:val="051931EE"/>
    <w:rsid w:val="052676B9"/>
    <w:rsid w:val="05283431"/>
    <w:rsid w:val="05290F57"/>
    <w:rsid w:val="053733E3"/>
    <w:rsid w:val="054A784B"/>
    <w:rsid w:val="05554684"/>
    <w:rsid w:val="05595832"/>
    <w:rsid w:val="05597A8E"/>
    <w:rsid w:val="055E32F7"/>
    <w:rsid w:val="056A1C9B"/>
    <w:rsid w:val="056D178C"/>
    <w:rsid w:val="05736FC4"/>
    <w:rsid w:val="057743B8"/>
    <w:rsid w:val="05787F46"/>
    <w:rsid w:val="057A17B3"/>
    <w:rsid w:val="057F6DC9"/>
    <w:rsid w:val="0582414B"/>
    <w:rsid w:val="05852631"/>
    <w:rsid w:val="058F28A6"/>
    <w:rsid w:val="059705B7"/>
    <w:rsid w:val="05A14F91"/>
    <w:rsid w:val="05A54A82"/>
    <w:rsid w:val="05AC22B4"/>
    <w:rsid w:val="05AF3B52"/>
    <w:rsid w:val="05B01966"/>
    <w:rsid w:val="05BE3D95"/>
    <w:rsid w:val="05BE5B43"/>
    <w:rsid w:val="05C15910"/>
    <w:rsid w:val="05C70E9C"/>
    <w:rsid w:val="05CA098C"/>
    <w:rsid w:val="05CA686F"/>
    <w:rsid w:val="05CF7D50"/>
    <w:rsid w:val="05DE1D42"/>
    <w:rsid w:val="05EA06E6"/>
    <w:rsid w:val="05F17CC7"/>
    <w:rsid w:val="05F2168E"/>
    <w:rsid w:val="05F30B80"/>
    <w:rsid w:val="05F652DD"/>
    <w:rsid w:val="06043E9E"/>
    <w:rsid w:val="060914B4"/>
    <w:rsid w:val="060C4B01"/>
    <w:rsid w:val="062956B3"/>
    <w:rsid w:val="062C0CFF"/>
    <w:rsid w:val="062F07EF"/>
    <w:rsid w:val="06345E06"/>
    <w:rsid w:val="063A78C0"/>
    <w:rsid w:val="06436049"/>
    <w:rsid w:val="0644429B"/>
    <w:rsid w:val="06450013"/>
    <w:rsid w:val="06475B39"/>
    <w:rsid w:val="064E336B"/>
    <w:rsid w:val="06575808"/>
    <w:rsid w:val="065A703E"/>
    <w:rsid w:val="065B3392"/>
    <w:rsid w:val="065B5A88"/>
    <w:rsid w:val="06640499"/>
    <w:rsid w:val="067B1F1D"/>
    <w:rsid w:val="067D59FE"/>
    <w:rsid w:val="06824DC3"/>
    <w:rsid w:val="068E19BA"/>
    <w:rsid w:val="06913258"/>
    <w:rsid w:val="06954AF6"/>
    <w:rsid w:val="0696086E"/>
    <w:rsid w:val="069C39BE"/>
    <w:rsid w:val="06B37672"/>
    <w:rsid w:val="06B86DA7"/>
    <w:rsid w:val="06BB2083"/>
    <w:rsid w:val="06C158EB"/>
    <w:rsid w:val="06C254FC"/>
    <w:rsid w:val="06C66443"/>
    <w:rsid w:val="06CC4290"/>
    <w:rsid w:val="06D82C35"/>
    <w:rsid w:val="06DF3FC3"/>
    <w:rsid w:val="06E635A4"/>
    <w:rsid w:val="06E72E78"/>
    <w:rsid w:val="06F21187"/>
    <w:rsid w:val="06F402A1"/>
    <w:rsid w:val="070868DF"/>
    <w:rsid w:val="07091040"/>
    <w:rsid w:val="070B125C"/>
    <w:rsid w:val="07195727"/>
    <w:rsid w:val="071A4FFB"/>
    <w:rsid w:val="0721638A"/>
    <w:rsid w:val="072308DB"/>
    <w:rsid w:val="072F4F4B"/>
    <w:rsid w:val="07373DFF"/>
    <w:rsid w:val="074327A4"/>
    <w:rsid w:val="07444B27"/>
    <w:rsid w:val="074F5A1D"/>
    <w:rsid w:val="074F739B"/>
    <w:rsid w:val="075A189C"/>
    <w:rsid w:val="075C0948"/>
    <w:rsid w:val="075F5104"/>
    <w:rsid w:val="0764346E"/>
    <w:rsid w:val="0765096C"/>
    <w:rsid w:val="076A5F83"/>
    <w:rsid w:val="07811597"/>
    <w:rsid w:val="078A3527"/>
    <w:rsid w:val="078D1C71"/>
    <w:rsid w:val="079528D4"/>
    <w:rsid w:val="07996D7F"/>
    <w:rsid w:val="079E3E7E"/>
    <w:rsid w:val="07A07BF6"/>
    <w:rsid w:val="07A56FBB"/>
    <w:rsid w:val="07A70F85"/>
    <w:rsid w:val="07A72053"/>
    <w:rsid w:val="07AA035F"/>
    <w:rsid w:val="07AF7E3A"/>
    <w:rsid w:val="07B244C9"/>
    <w:rsid w:val="07BA233A"/>
    <w:rsid w:val="07CC279A"/>
    <w:rsid w:val="07D17DB0"/>
    <w:rsid w:val="07DB0C2F"/>
    <w:rsid w:val="07DE24CD"/>
    <w:rsid w:val="07E00A0F"/>
    <w:rsid w:val="07E5385B"/>
    <w:rsid w:val="07E86EA8"/>
    <w:rsid w:val="07EE7038"/>
    <w:rsid w:val="07EF46DA"/>
    <w:rsid w:val="07F65A68"/>
    <w:rsid w:val="080C03D3"/>
    <w:rsid w:val="08101E85"/>
    <w:rsid w:val="08144141"/>
    <w:rsid w:val="08145EEF"/>
    <w:rsid w:val="08191757"/>
    <w:rsid w:val="08236132"/>
    <w:rsid w:val="08282F64"/>
    <w:rsid w:val="082F2D28"/>
    <w:rsid w:val="0849203C"/>
    <w:rsid w:val="08532A2C"/>
    <w:rsid w:val="08534C69"/>
    <w:rsid w:val="0854278F"/>
    <w:rsid w:val="0854453D"/>
    <w:rsid w:val="085A5FF7"/>
    <w:rsid w:val="086A5B0F"/>
    <w:rsid w:val="08730E67"/>
    <w:rsid w:val="087F5A5E"/>
    <w:rsid w:val="0889068B"/>
    <w:rsid w:val="08892439"/>
    <w:rsid w:val="08901A19"/>
    <w:rsid w:val="08962DA7"/>
    <w:rsid w:val="089B6610"/>
    <w:rsid w:val="08A6123D"/>
    <w:rsid w:val="08BF40AC"/>
    <w:rsid w:val="08C01BD2"/>
    <w:rsid w:val="08C16076"/>
    <w:rsid w:val="08C23B9D"/>
    <w:rsid w:val="08C571E9"/>
    <w:rsid w:val="08CB0CA3"/>
    <w:rsid w:val="08CD6293"/>
    <w:rsid w:val="08CE0793"/>
    <w:rsid w:val="08E51639"/>
    <w:rsid w:val="08E6788B"/>
    <w:rsid w:val="08E753B1"/>
    <w:rsid w:val="08EB4EA1"/>
    <w:rsid w:val="08F57ACE"/>
    <w:rsid w:val="08FA1588"/>
    <w:rsid w:val="090B72F2"/>
    <w:rsid w:val="090C4E18"/>
    <w:rsid w:val="090E0B90"/>
    <w:rsid w:val="09153CCC"/>
    <w:rsid w:val="091757C8"/>
    <w:rsid w:val="091E5277"/>
    <w:rsid w:val="092E0EB3"/>
    <w:rsid w:val="09371E95"/>
    <w:rsid w:val="09440A55"/>
    <w:rsid w:val="094D579B"/>
    <w:rsid w:val="094E5430"/>
    <w:rsid w:val="09567328"/>
    <w:rsid w:val="09570789"/>
    <w:rsid w:val="095C5D9F"/>
    <w:rsid w:val="095D5673"/>
    <w:rsid w:val="095E38C5"/>
    <w:rsid w:val="09772245"/>
    <w:rsid w:val="097B0BFE"/>
    <w:rsid w:val="098175B4"/>
    <w:rsid w:val="09896468"/>
    <w:rsid w:val="098F1CD1"/>
    <w:rsid w:val="09902FE9"/>
    <w:rsid w:val="099472E7"/>
    <w:rsid w:val="0995305F"/>
    <w:rsid w:val="099C263F"/>
    <w:rsid w:val="099C619C"/>
    <w:rsid w:val="09A8678D"/>
    <w:rsid w:val="09B259BF"/>
    <w:rsid w:val="09BE6112"/>
    <w:rsid w:val="09D50049"/>
    <w:rsid w:val="09DE4A06"/>
    <w:rsid w:val="09DF42DA"/>
    <w:rsid w:val="09E11F77"/>
    <w:rsid w:val="09E244F6"/>
    <w:rsid w:val="09E47F19"/>
    <w:rsid w:val="09E518F1"/>
    <w:rsid w:val="09E76B80"/>
    <w:rsid w:val="09EA33AB"/>
    <w:rsid w:val="09FA0114"/>
    <w:rsid w:val="09FC4E8C"/>
    <w:rsid w:val="09FC6C3A"/>
    <w:rsid w:val="0A067AB9"/>
    <w:rsid w:val="0A120F8E"/>
    <w:rsid w:val="0A1246B0"/>
    <w:rsid w:val="0A222B45"/>
    <w:rsid w:val="0A6273E5"/>
    <w:rsid w:val="0A6D18E6"/>
    <w:rsid w:val="0A7333A0"/>
    <w:rsid w:val="0A821835"/>
    <w:rsid w:val="0A83110A"/>
    <w:rsid w:val="0A8729A8"/>
    <w:rsid w:val="0A911A78"/>
    <w:rsid w:val="0A9926DB"/>
    <w:rsid w:val="0A9A0000"/>
    <w:rsid w:val="0AA25A34"/>
    <w:rsid w:val="0AA479FE"/>
    <w:rsid w:val="0AB2666B"/>
    <w:rsid w:val="0AB8343E"/>
    <w:rsid w:val="0ABB4230"/>
    <w:rsid w:val="0AC27E84"/>
    <w:rsid w:val="0AC736EC"/>
    <w:rsid w:val="0ACB31DC"/>
    <w:rsid w:val="0ACF434F"/>
    <w:rsid w:val="0AD64358"/>
    <w:rsid w:val="0AD801AB"/>
    <w:rsid w:val="0ADA59C5"/>
    <w:rsid w:val="0AE4604C"/>
    <w:rsid w:val="0AEA5CC4"/>
    <w:rsid w:val="0AF0679F"/>
    <w:rsid w:val="0AF14317"/>
    <w:rsid w:val="0AF344E1"/>
    <w:rsid w:val="0AF52007"/>
    <w:rsid w:val="0B09160F"/>
    <w:rsid w:val="0B095AB3"/>
    <w:rsid w:val="0B156206"/>
    <w:rsid w:val="0B163D2C"/>
    <w:rsid w:val="0B183F48"/>
    <w:rsid w:val="0B1A1A6E"/>
    <w:rsid w:val="0B1D330C"/>
    <w:rsid w:val="0B2D79F3"/>
    <w:rsid w:val="0B325009"/>
    <w:rsid w:val="0B505490"/>
    <w:rsid w:val="0B5A00BC"/>
    <w:rsid w:val="0B61144B"/>
    <w:rsid w:val="0B6251C3"/>
    <w:rsid w:val="0B64718D"/>
    <w:rsid w:val="0B6727D9"/>
    <w:rsid w:val="0B674587"/>
    <w:rsid w:val="0B6B051B"/>
    <w:rsid w:val="0B7078E0"/>
    <w:rsid w:val="0B772A1C"/>
    <w:rsid w:val="0B7A42BB"/>
    <w:rsid w:val="0B7B087A"/>
    <w:rsid w:val="0B7F5D75"/>
    <w:rsid w:val="0B8313B3"/>
    <w:rsid w:val="0B884C29"/>
    <w:rsid w:val="0B9659AE"/>
    <w:rsid w:val="0B971310"/>
    <w:rsid w:val="0B995089"/>
    <w:rsid w:val="0B9C06D5"/>
    <w:rsid w:val="0B9C2483"/>
    <w:rsid w:val="0B9F01C5"/>
    <w:rsid w:val="0BA44B9D"/>
    <w:rsid w:val="0BA61553"/>
    <w:rsid w:val="0BAB697F"/>
    <w:rsid w:val="0BAC5640"/>
    <w:rsid w:val="0BAE0408"/>
    <w:rsid w:val="0BBF2615"/>
    <w:rsid w:val="0BC53DFE"/>
    <w:rsid w:val="0BCB2705"/>
    <w:rsid w:val="0BCD088E"/>
    <w:rsid w:val="0BCD4D32"/>
    <w:rsid w:val="0BDC4F75"/>
    <w:rsid w:val="0BE300B2"/>
    <w:rsid w:val="0BF91683"/>
    <w:rsid w:val="0C040028"/>
    <w:rsid w:val="0C085D6A"/>
    <w:rsid w:val="0C0F0EA7"/>
    <w:rsid w:val="0C2549C6"/>
    <w:rsid w:val="0C280315"/>
    <w:rsid w:val="0C321039"/>
    <w:rsid w:val="0C4274CE"/>
    <w:rsid w:val="0C45461E"/>
    <w:rsid w:val="0C474AE5"/>
    <w:rsid w:val="0C4F1BEB"/>
    <w:rsid w:val="0C4F5747"/>
    <w:rsid w:val="0C5010C1"/>
    <w:rsid w:val="0C564D28"/>
    <w:rsid w:val="0C6F1945"/>
    <w:rsid w:val="0C7743ED"/>
    <w:rsid w:val="0C790A16"/>
    <w:rsid w:val="0C7B02EA"/>
    <w:rsid w:val="0C9F4821"/>
    <w:rsid w:val="0CA02447"/>
    <w:rsid w:val="0CA43CE5"/>
    <w:rsid w:val="0CAC0DEC"/>
    <w:rsid w:val="0CAD246E"/>
    <w:rsid w:val="0CB16402"/>
    <w:rsid w:val="0CB528E2"/>
    <w:rsid w:val="0CB90E13"/>
    <w:rsid w:val="0CC954FA"/>
    <w:rsid w:val="0CCE2B10"/>
    <w:rsid w:val="0CCF0636"/>
    <w:rsid w:val="0CCF4ADA"/>
    <w:rsid w:val="0CD30126"/>
    <w:rsid w:val="0CD3450C"/>
    <w:rsid w:val="0CD345CA"/>
    <w:rsid w:val="0CD520F0"/>
    <w:rsid w:val="0CE560AB"/>
    <w:rsid w:val="0CF307C8"/>
    <w:rsid w:val="0CF87B8D"/>
    <w:rsid w:val="0CFE2CC9"/>
    <w:rsid w:val="0CFF53BF"/>
    <w:rsid w:val="0D020A0B"/>
    <w:rsid w:val="0D103128"/>
    <w:rsid w:val="0D1C5CFD"/>
    <w:rsid w:val="0D222E5C"/>
    <w:rsid w:val="0D29243C"/>
    <w:rsid w:val="0D2E1801"/>
    <w:rsid w:val="0D314E4D"/>
    <w:rsid w:val="0D366907"/>
    <w:rsid w:val="0D466B4A"/>
    <w:rsid w:val="0D4D6A15"/>
    <w:rsid w:val="0D500CF1"/>
    <w:rsid w:val="0D553231"/>
    <w:rsid w:val="0D646FD0"/>
    <w:rsid w:val="0D730D04"/>
    <w:rsid w:val="0D7D7CCA"/>
    <w:rsid w:val="0D7F205C"/>
    <w:rsid w:val="0D815DD4"/>
    <w:rsid w:val="0D904269"/>
    <w:rsid w:val="0D9553DC"/>
    <w:rsid w:val="0DA1474E"/>
    <w:rsid w:val="0DB241E0"/>
    <w:rsid w:val="0DC161D1"/>
    <w:rsid w:val="0DCB34F3"/>
    <w:rsid w:val="0DCB704F"/>
    <w:rsid w:val="0DCC024E"/>
    <w:rsid w:val="0DD34156"/>
    <w:rsid w:val="0DD8176C"/>
    <w:rsid w:val="0DDA3736"/>
    <w:rsid w:val="0DE025A6"/>
    <w:rsid w:val="0DE3083D"/>
    <w:rsid w:val="0DE3413F"/>
    <w:rsid w:val="0DE40233"/>
    <w:rsid w:val="0DEC35A3"/>
    <w:rsid w:val="0DF26CD2"/>
    <w:rsid w:val="0DF60A63"/>
    <w:rsid w:val="0E032C8D"/>
    <w:rsid w:val="0E0B1B42"/>
    <w:rsid w:val="0E0F33E0"/>
    <w:rsid w:val="0E12182B"/>
    <w:rsid w:val="0E1C78AB"/>
    <w:rsid w:val="0E2B3F92"/>
    <w:rsid w:val="0E2F75DE"/>
    <w:rsid w:val="0E303356"/>
    <w:rsid w:val="0E464928"/>
    <w:rsid w:val="0E4868F2"/>
    <w:rsid w:val="0E4A08BC"/>
    <w:rsid w:val="0E4D48A5"/>
    <w:rsid w:val="0E4D5CB6"/>
    <w:rsid w:val="0E4F7062"/>
    <w:rsid w:val="0E647943"/>
    <w:rsid w:val="0E6E4569"/>
    <w:rsid w:val="0E715E49"/>
    <w:rsid w:val="0E7501B1"/>
    <w:rsid w:val="0E7E2314"/>
    <w:rsid w:val="0E8006AC"/>
    <w:rsid w:val="0E835B7C"/>
    <w:rsid w:val="0E855450"/>
    <w:rsid w:val="0E8A2A67"/>
    <w:rsid w:val="0EA004DC"/>
    <w:rsid w:val="0EB45D35"/>
    <w:rsid w:val="0EBB25AE"/>
    <w:rsid w:val="0EC56195"/>
    <w:rsid w:val="0EC817E1"/>
    <w:rsid w:val="0EE228A3"/>
    <w:rsid w:val="0EE26D46"/>
    <w:rsid w:val="0EE526EA"/>
    <w:rsid w:val="0EEA79A9"/>
    <w:rsid w:val="0EF1655F"/>
    <w:rsid w:val="0EF56A7A"/>
    <w:rsid w:val="0EF645A0"/>
    <w:rsid w:val="0EFE3455"/>
    <w:rsid w:val="0F072309"/>
    <w:rsid w:val="0F0E18EA"/>
    <w:rsid w:val="0F0F7410"/>
    <w:rsid w:val="0F100C45"/>
    <w:rsid w:val="0F19203C"/>
    <w:rsid w:val="0F1F3AF7"/>
    <w:rsid w:val="0F2174FB"/>
    <w:rsid w:val="0F236D19"/>
    <w:rsid w:val="0F2904D1"/>
    <w:rsid w:val="0F2B249C"/>
    <w:rsid w:val="0F2F360E"/>
    <w:rsid w:val="0F3F7CF5"/>
    <w:rsid w:val="0F403A6D"/>
    <w:rsid w:val="0F580DB7"/>
    <w:rsid w:val="0F5A2BFE"/>
    <w:rsid w:val="0F5A4B2F"/>
    <w:rsid w:val="0F5D63CD"/>
    <w:rsid w:val="0F5F3EF3"/>
    <w:rsid w:val="0F615EBD"/>
    <w:rsid w:val="0F6E4136"/>
    <w:rsid w:val="0F7756E1"/>
    <w:rsid w:val="0F784FB5"/>
    <w:rsid w:val="0F7F6343"/>
    <w:rsid w:val="0F957915"/>
    <w:rsid w:val="0FA25AF2"/>
    <w:rsid w:val="0FA638D0"/>
    <w:rsid w:val="0FA83BE8"/>
    <w:rsid w:val="0FB57C4F"/>
    <w:rsid w:val="0FB71F81"/>
    <w:rsid w:val="0FB9747C"/>
    <w:rsid w:val="0FD541B5"/>
    <w:rsid w:val="0FDF3286"/>
    <w:rsid w:val="0FFF7484"/>
    <w:rsid w:val="10060813"/>
    <w:rsid w:val="100B407B"/>
    <w:rsid w:val="101C0036"/>
    <w:rsid w:val="102E1B18"/>
    <w:rsid w:val="10321608"/>
    <w:rsid w:val="1032192F"/>
    <w:rsid w:val="103709CC"/>
    <w:rsid w:val="10401F77"/>
    <w:rsid w:val="104430E9"/>
    <w:rsid w:val="104D6442"/>
    <w:rsid w:val="10505F32"/>
    <w:rsid w:val="10536C40"/>
    <w:rsid w:val="1054157E"/>
    <w:rsid w:val="10611EED"/>
    <w:rsid w:val="10613A0A"/>
    <w:rsid w:val="107514F4"/>
    <w:rsid w:val="10797DC1"/>
    <w:rsid w:val="107B4D5D"/>
    <w:rsid w:val="1082442C"/>
    <w:rsid w:val="1088747A"/>
    <w:rsid w:val="108D7E56"/>
    <w:rsid w:val="10A2678D"/>
    <w:rsid w:val="10A55552"/>
    <w:rsid w:val="10AA3C3A"/>
    <w:rsid w:val="10AF0EAA"/>
    <w:rsid w:val="10B04B1B"/>
    <w:rsid w:val="10B14C22"/>
    <w:rsid w:val="10B4026F"/>
    <w:rsid w:val="10B62239"/>
    <w:rsid w:val="10B77D5F"/>
    <w:rsid w:val="10BC5375"/>
    <w:rsid w:val="10BE4B81"/>
    <w:rsid w:val="10C2298C"/>
    <w:rsid w:val="10C34956"/>
    <w:rsid w:val="10C61D50"/>
    <w:rsid w:val="10CF03D3"/>
    <w:rsid w:val="10CF50A9"/>
    <w:rsid w:val="10D0497D"/>
    <w:rsid w:val="10D34B99"/>
    <w:rsid w:val="10D36EC2"/>
    <w:rsid w:val="10DD5A17"/>
    <w:rsid w:val="10DE709A"/>
    <w:rsid w:val="10E50428"/>
    <w:rsid w:val="10F16DCD"/>
    <w:rsid w:val="11093137"/>
    <w:rsid w:val="1109680C"/>
    <w:rsid w:val="111749F9"/>
    <w:rsid w:val="111D4066"/>
    <w:rsid w:val="11203B56"/>
    <w:rsid w:val="1125116C"/>
    <w:rsid w:val="112A0531"/>
    <w:rsid w:val="11355881"/>
    <w:rsid w:val="113E3FDC"/>
    <w:rsid w:val="113F222E"/>
    <w:rsid w:val="114247F0"/>
    <w:rsid w:val="11475180"/>
    <w:rsid w:val="114809B7"/>
    <w:rsid w:val="11496C09"/>
    <w:rsid w:val="114F61E9"/>
    <w:rsid w:val="11553800"/>
    <w:rsid w:val="115F642C"/>
    <w:rsid w:val="11645B13"/>
    <w:rsid w:val="116972AB"/>
    <w:rsid w:val="11744731"/>
    <w:rsid w:val="118440E5"/>
    <w:rsid w:val="11895257"/>
    <w:rsid w:val="11902A8A"/>
    <w:rsid w:val="11912948"/>
    <w:rsid w:val="119360D6"/>
    <w:rsid w:val="119500A0"/>
    <w:rsid w:val="119D08B7"/>
    <w:rsid w:val="11AC53EA"/>
    <w:rsid w:val="11B61DC5"/>
    <w:rsid w:val="11BC387F"/>
    <w:rsid w:val="11C269BB"/>
    <w:rsid w:val="11C40985"/>
    <w:rsid w:val="11C55882"/>
    <w:rsid w:val="11C664AC"/>
    <w:rsid w:val="11CC5D32"/>
    <w:rsid w:val="11E22BBA"/>
    <w:rsid w:val="11E903EC"/>
    <w:rsid w:val="11ED40A1"/>
    <w:rsid w:val="11EE5A02"/>
    <w:rsid w:val="11EF6A55"/>
    <w:rsid w:val="11F8062F"/>
    <w:rsid w:val="120D40DA"/>
    <w:rsid w:val="120E1C01"/>
    <w:rsid w:val="12144CC9"/>
    <w:rsid w:val="1222745A"/>
    <w:rsid w:val="122B4561"/>
    <w:rsid w:val="123258EF"/>
    <w:rsid w:val="12386C7D"/>
    <w:rsid w:val="123C676E"/>
    <w:rsid w:val="12483364"/>
    <w:rsid w:val="12555A81"/>
    <w:rsid w:val="12575356"/>
    <w:rsid w:val="125C0BBE"/>
    <w:rsid w:val="12661A3D"/>
    <w:rsid w:val="12705D8B"/>
    <w:rsid w:val="127E28E2"/>
    <w:rsid w:val="12834530"/>
    <w:rsid w:val="128F2D41"/>
    <w:rsid w:val="12904C0D"/>
    <w:rsid w:val="129739A4"/>
    <w:rsid w:val="129C720C"/>
    <w:rsid w:val="12A460C1"/>
    <w:rsid w:val="12B64F8D"/>
    <w:rsid w:val="12BD5406"/>
    <w:rsid w:val="12C50511"/>
    <w:rsid w:val="12CA1FCB"/>
    <w:rsid w:val="12D1335A"/>
    <w:rsid w:val="12D6271E"/>
    <w:rsid w:val="12D90460"/>
    <w:rsid w:val="12DB4B97"/>
    <w:rsid w:val="12E666D9"/>
    <w:rsid w:val="12F10F28"/>
    <w:rsid w:val="12FB03D7"/>
    <w:rsid w:val="12FE7EC7"/>
    <w:rsid w:val="130152C1"/>
    <w:rsid w:val="130C6140"/>
    <w:rsid w:val="13182D37"/>
    <w:rsid w:val="1319085D"/>
    <w:rsid w:val="131B2827"/>
    <w:rsid w:val="132536A6"/>
    <w:rsid w:val="1331204B"/>
    <w:rsid w:val="1336140F"/>
    <w:rsid w:val="13370CE3"/>
    <w:rsid w:val="133E6515"/>
    <w:rsid w:val="13453400"/>
    <w:rsid w:val="134C0C32"/>
    <w:rsid w:val="1351449B"/>
    <w:rsid w:val="13566AB3"/>
    <w:rsid w:val="135D699C"/>
    <w:rsid w:val="135E44C2"/>
    <w:rsid w:val="136046DE"/>
    <w:rsid w:val="13685340"/>
    <w:rsid w:val="136E0BA9"/>
    <w:rsid w:val="13734411"/>
    <w:rsid w:val="13743CE5"/>
    <w:rsid w:val="13767A5D"/>
    <w:rsid w:val="137837D5"/>
    <w:rsid w:val="13785584"/>
    <w:rsid w:val="138959E3"/>
    <w:rsid w:val="138E33BD"/>
    <w:rsid w:val="138E4DA7"/>
    <w:rsid w:val="13974B16"/>
    <w:rsid w:val="13AC347F"/>
    <w:rsid w:val="13B14F39"/>
    <w:rsid w:val="13B660AC"/>
    <w:rsid w:val="13B862C8"/>
    <w:rsid w:val="13BA2040"/>
    <w:rsid w:val="13BF7656"/>
    <w:rsid w:val="13C702B9"/>
    <w:rsid w:val="13C87418"/>
    <w:rsid w:val="13DB3D64"/>
    <w:rsid w:val="13E03047"/>
    <w:rsid w:val="13EC7D20"/>
    <w:rsid w:val="13F54E26"/>
    <w:rsid w:val="13FD1F2D"/>
    <w:rsid w:val="140B289C"/>
    <w:rsid w:val="14117786"/>
    <w:rsid w:val="1413641B"/>
    <w:rsid w:val="14171240"/>
    <w:rsid w:val="14172FEE"/>
    <w:rsid w:val="141F6347"/>
    <w:rsid w:val="142C45C0"/>
    <w:rsid w:val="14304CEF"/>
    <w:rsid w:val="1432607A"/>
    <w:rsid w:val="143376FC"/>
    <w:rsid w:val="14424A3B"/>
    <w:rsid w:val="144B2C98"/>
    <w:rsid w:val="144E09DA"/>
    <w:rsid w:val="14516669"/>
    <w:rsid w:val="146124BC"/>
    <w:rsid w:val="14680FAC"/>
    <w:rsid w:val="148166BA"/>
    <w:rsid w:val="149C34F4"/>
    <w:rsid w:val="14A36FBB"/>
    <w:rsid w:val="14A423A8"/>
    <w:rsid w:val="14A45A4F"/>
    <w:rsid w:val="14A5684C"/>
    <w:rsid w:val="14A81E98"/>
    <w:rsid w:val="14B051F1"/>
    <w:rsid w:val="14B545B5"/>
    <w:rsid w:val="14C36CD2"/>
    <w:rsid w:val="14C64A14"/>
    <w:rsid w:val="14C667C2"/>
    <w:rsid w:val="14CA50E9"/>
    <w:rsid w:val="14D701FE"/>
    <w:rsid w:val="14E35B9E"/>
    <w:rsid w:val="14E37374"/>
    <w:rsid w:val="14EA425F"/>
    <w:rsid w:val="14EC447B"/>
    <w:rsid w:val="14EF3F6B"/>
    <w:rsid w:val="15063063"/>
    <w:rsid w:val="15064E11"/>
    <w:rsid w:val="150B2427"/>
    <w:rsid w:val="150E6A01"/>
    <w:rsid w:val="15121A08"/>
    <w:rsid w:val="15145780"/>
    <w:rsid w:val="151B08BC"/>
    <w:rsid w:val="151C4634"/>
    <w:rsid w:val="151D2886"/>
    <w:rsid w:val="152A6D51"/>
    <w:rsid w:val="15300CEB"/>
    <w:rsid w:val="153B2D0D"/>
    <w:rsid w:val="153C0833"/>
    <w:rsid w:val="15496955"/>
    <w:rsid w:val="154F0566"/>
    <w:rsid w:val="154F67B8"/>
    <w:rsid w:val="1557566D"/>
    <w:rsid w:val="15597637"/>
    <w:rsid w:val="155C2C83"/>
    <w:rsid w:val="156758B0"/>
    <w:rsid w:val="15712BD2"/>
    <w:rsid w:val="15744470"/>
    <w:rsid w:val="158226E9"/>
    <w:rsid w:val="158C17BA"/>
    <w:rsid w:val="159D39C7"/>
    <w:rsid w:val="15A5462A"/>
    <w:rsid w:val="15AC7766"/>
    <w:rsid w:val="15B14D7D"/>
    <w:rsid w:val="15C90318"/>
    <w:rsid w:val="15C9656A"/>
    <w:rsid w:val="15CE1DD3"/>
    <w:rsid w:val="15DB629E"/>
    <w:rsid w:val="15EC640C"/>
    <w:rsid w:val="15EE7D7F"/>
    <w:rsid w:val="15FD6214"/>
    <w:rsid w:val="160C46A9"/>
    <w:rsid w:val="161812A0"/>
    <w:rsid w:val="1629676E"/>
    <w:rsid w:val="16351E52"/>
    <w:rsid w:val="16361726"/>
    <w:rsid w:val="164155CB"/>
    <w:rsid w:val="16442095"/>
    <w:rsid w:val="164756E1"/>
    <w:rsid w:val="164D719B"/>
    <w:rsid w:val="16526560"/>
    <w:rsid w:val="16577862"/>
    <w:rsid w:val="16585B40"/>
    <w:rsid w:val="165B2F3A"/>
    <w:rsid w:val="165C25E4"/>
    <w:rsid w:val="165D4F05"/>
    <w:rsid w:val="166149F5"/>
    <w:rsid w:val="166874AC"/>
    <w:rsid w:val="166B462C"/>
    <w:rsid w:val="166F4B77"/>
    <w:rsid w:val="1674297A"/>
    <w:rsid w:val="167A7865"/>
    <w:rsid w:val="168E4C0A"/>
    <w:rsid w:val="1695038C"/>
    <w:rsid w:val="1695644C"/>
    <w:rsid w:val="16985F3D"/>
    <w:rsid w:val="169A1CB5"/>
    <w:rsid w:val="169A7F07"/>
    <w:rsid w:val="169C3C7F"/>
    <w:rsid w:val="169F72CB"/>
    <w:rsid w:val="169F73DB"/>
    <w:rsid w:val="16A86180"/>
    <w:rsid w:val="16AB5961"/>
    <w:rsid w:val="16AE750E"/>
    <w:rsid w:val="16B94831"/>
    <w:rsid w:val="16C44F84"/>
    <w:rsid w:val="16C66BE6"/>
    <w:rsid w:val="16CB00C0"/>
    <w:rsid w:val="16D50F3F"/>
    <w:rsid w:val="16D927DD"/>
    <w:rsid w:val="16DE6045"/>
    <w:rsid w:val="16EF0253"/>
    <w:rsid w:val="16EF4EE4"/>
    <w:rsid w:val="16F2389F"/>
    <w:rsid w:val="16F5513D"/>
    <w:rsid w:val="16F75359"/>
    <w:rsid w:val="16FB5EE0"/>
    <w:rsid w:val="17005FBC"/>
    <w:rsid w:val="1702724C"/>
    <w:rsid w:val="170B670F"/>
    <w:rsid w:val="17111053"/>
    <w:rsid w:val="17143815"/>
    <w:rsid w:val="171864F3"/>
    <w:rsid w:val="17215F32"/>
    <w:rsid w:val="17377504"/>
    <w:rsid w:val="173B5246"/>
    <w:rsid w:val="174B36FD"/>
    <w:rsid w:val="174F0CF1"/>
    <w:rsid w:val="175207E1"/>
    <w:rsid w:val="17562080"/>
    <w:rsid w:val="175B1444"/>
    <w:rsid w:val="176A5B2B"/>
    <w:rsid w:val="1776002C"/>
    <w:rsid w:val="178A7F7B"/>
    <w:rsid w:val="178E7A6B"/>
    <w:rsid w:val="17A27073"/>
    <w:rsid w:val="17AA5F28"/>
    <w:rsid w:val="17B001A3"/>
    <w:rsid w:val="17B374D2"/>
    <w:rsid w:val="17B648CC"/>
    <w:rsid w:val="17B943BD"/>
    <w:rsid w:val="17D31922"/>
    <w:rsid w:val="17D816EC"/>
    <w:rsid w:val="17DA4A5F"/>
    <w:rsid w:val="17DB07D7"/>
    <w:rsid w:val="17DC0E56"/>
    <w:rsid w:val="17EE22B8"/>
    <w:rsid w:val="17EF6F6E"/>
    <w:rsid w:val="17F17FFA"/>
    <w:rsid w:val="17F2029E"/>
    <w:rsid w:val="17F35B20"/>
    <w:rsid w:val="17F51899"/>
    <w:rsid w:val="17F673BF"/>
    <w:rsid w:val="17F84EE5"/>
    <w:rsid w:val="17FB6783"/>
    <w:rsid w:val="17FF2717"/>
    <w:rsid w:val="17FF6273"/>
    <w:rsid w:val="1804388A"/>
    <w:rsid w:val="18133ACD"/>
    <w:rsid w:val="181A12FF"/>
    <w:rsid w:val="182643EE"/>
    <w:rsid w:val="1827549A"/>
    <w:rsid w:val="182757CA"/>
    <w:rsid w:val="182B52BA"/>
    <w:rsid w:val="183201B6"/>
    <w:rsid w:val="18495740"/>
    <w:rsid w:val="184B14B9"/>
    <w:rsid w:val="18510A99"/>
    <w:rsid w:val="18552337"/>
    <w:rsid w:val="18567E5D"/>
    <w:rsid w:val="185D743E"/>
    <w:rsid w:val="186662F2"/>
    <w:rsid w:val="186E51A7"/>
    <w:rsid w:val="186F0527"/>
    <w:rsid w:val="187173C2"/>
    <w:rsid w:val="188212B1"/>
    <w:rsid w:val="189A2440"/>
    <w:rsid w:val="189B3AC2"/>
    <w:rsid w:val="18A64941"/>
    <w:rsid w:val="18A92683"/>
    <w:rsid w:val="18B21538"/>
    <w:rsid w:val="18C43019"/>
    <w:rsid w:val="18C64FE3"/>
    <w:rsid w:val="18CE27A6"/>
    <w:rsid w:val="18D116E7"/>
    <w:rsid w:val="18D25736"/>
    <w:rsid w:val="18D536B7"/>
    <w:rsid w:val="18D56FD4"/>
    <w:rsid w:val="18D70F9E"/>
    <w:rsid w:val="18DC4807"/>
    <w:rsid w:val="18DC7A7E"/>
    <w:rsid w:val="18ED0AD1"/>
    <w:rsid w:val="18F468B3"/>
    <w:rsid w:val="19067AD5"/>
    <w:rsid w:val="190A4F4F"/>
    <w:rsid w:val="19141836"/>
    <w:rsid w:val="19193365"/>
    <w:rsid w:val="1928247B"/>
    <w:rsid w:val="192835A8"/>
    <w:rsid w:val="19427CFB"/>
    <w:rsid w:val="19540841"/>
    <w:rsid w:val="19632D1C"/>
    <w:rsid w:val="196977CD"/>
    <w:rsid w:val="197251D6"/>
    <w:rsid w:val="19736EC8"/>
    <w:rsid w:val="19766A09"/>
    <w:rsid w:val="19882A4F"/>
    <w:rsid w:val="198D5B01"/>
    <w:rsid w:val="198E6DC7"/>
    <w:rsid w:val="19996254"/>
    <w:rsid w:val="199D21E8"/>
    <w:rsid w:val="19A62268"/>
    <w:rsid w:val="19A74E14"/>
    <w:rsid w:val="19A928E0"/>
    <w:rsid w:val="19AF7825"/>
    <w:rsid w:val="19B06CB7"/>
    <w:rsid w:val="19B334A7"/>
    <w:rsid w:val="19C01A32"/>
    <w:rsid w:val="19D03922"/>
    <w:rsid w:val="19DF16C9"/>
    <w:rsid w:val="19E020D4"/>
    <w:rsid w:val="19E41BC5"/>
    <w:rsid w:val="19E51499"/>
    <w:rsid w:val="19E576EB"/>
    <w:rsid w:val="19F42507"/>
    <w:rsid w:val="19FE2C35"/>
    <w:rsid w:val="1A0314E0"/>
    <w:rsid w:val="1A044015"/>
    <w:rsid w:val="1A11228E"/>
    <w:rsid w:val="1A113891"/>
    <w:rsid w:val="1A187AC0"/>
    <w:rsid w:val="1A204BC7"/>
    <w:rsid w:val="1A2521DD"/>
    <w:rsid w:val="1A310E88"/>
    <w:rsid w:val="1A4B2487"/>
    <w:rsid w:val="1A604FC3"/>
    <w:rsid w:val="1A6256EF"/>
    <w:rsid w:val="1A6B4094"/>
    <w:rsid w:val="1A766595"/>
    <w:rsid w:val="1A7D5B75"/>
    <w:rsid w:val="1A7F5449"/>
    <w:rsid w:val="1A82318C"/>
    <w:rsid w:val="1A836FA3"/>
    <w:rsid w:val="1A850730"/>
    <w:rsid w:val="1A875CFE"/>
    <w:rsid w:val="1A8962C8"/>
    <w:rsid w:val="1A8A3DEE"/>
    <w:rsid w:val="1A8B2040"/>
    <w:rsid w:val="1A8C7B66"/>
    <w:rsid w:val="1A9D7FC6"/>
    <w:rsid w:val="1AA03612"/>
    <w:rsid w:val="1AA2382E"/>
    <w:rsid w:val="1AB07CF9"/>
    <w:rsid w:val="1AB84DFF"/>
    <w:rsid w:val="1ABA2925"/>
    <w:rsid w:val="1AC16E64"/>
    <w:rsid w:val="1AC35764"/>
    <w:rsid w:val="1AC35C7E"/>
    <w:rsid w:val="1AD43D39"/>
    <w:rsid w:val="1AD80FFE"/>
    <w:rsid w:val="1ADC289C"/>
    <w:rsid w:val="1AE16F05"/>
    <w:rsid w:val="1AE23C2A"/>
    <w:rsid w:val="1AE45BF4"/>
    <w:rsid w:val="1AF47500"/>
    <w:rsid w:val="1AF51BB0"/>
    <w:rsid w:val="1AFC1190"/>
    <w:rsid w:val="1B040045"/>
    <w:rsid w:val="1B1069E9"/>
    <w:rsid w:val="1B1464DA"/>
    <w:rsid w:val="1B1C713C"/>
    <w:rsid w:val="1B1D6199"/>
    <w:rsid w:val="1B1F4E7E"/>
    <w:rsid w:val="1B2B55D1"/>
    <w:rsid w:val="1B2D759B"/>
    <w:rsid w:val="1B2F50C2"/>
    <w:rsid w:val="1B3410D7"/>
    <w:rsid w:val="1B3E5305"/>
    <w:rsid w:val="1B410951"/>
    <w:rsid w:val="1B46240B"/>
    <w:rsid w:val="1B486183"/>
    <w:rsid w:val="1B4D379A"/>
    <w:rsid w:val="1B4F7512"/>
    <w:rsid w:val="1B544B28"/>
    <w:rsid w:val="1B5508A0"/>
    <w:rsid w:val="1B5C578B"/>
    <w:rsid w:val="1B60171F"/>
    <w:rsid w:val="1B724FAE"/>
    <w:rsid w:val="1B753A92"/>
    <w:rsid w:val="1B79458F"/>
    <w:rsid w:val="1B79633D"/>
    <w:rsid w:val="1B852DAA"/>
    <w:rsid w:val="1B884FBD"/>
    <w:rsid w:val="1B8C578C"/>
    <w:rsid w:val="1B966EEF"/>
    <w:rsid w:val="1B974A15"/>
    <w:rsid w:val="1B987507"/>
    <w:rsid w:val="1B99078D"/>
    <w:rsid w:val="1BBB6E9F"/>
    <w:rsid w:val="1BBE6445"/>
    <w:rsid w:val="1BCA4DEA"/>
    <w:rsid w:val="1BCF2401"/>
    <w:rsid w:val="1BD0092E"/>
    <w:rsid w:val="1BD22841"/>
    <w:rsid w:val="1BD87507"/>
    <w:rsid w:val="1BD96DDB"/>
    <w:rsid w:val="1BE0016A"/>
    <w:rsid w:val="1BE060F1"/>
    <w:rsid w:val="1BE20386"/>
    <w:rsid w:val="1BE35EAC"/>
    <w:rsid w:val="1BE834C2"/>
    <w:rsid w:val="1BF577F7"/>
    <w:rsid w:val="1BF63E31"/>
    <w:rsid w:val="1BF65BDF"/>
    <w:rsid w:val="1BF6798D"/>
    <w:rsid w:val="1BF70EAC"/>
    <w:rsid w:val="1BFD51C0"/>
    <w:rsid w:val="1C077DEC"/>
    <w:rsid w:val="1C093B64"/>
    <w:rsid w:val="1C0F0A4F"/>
    <w:rsid w:val="1C116575"/>
    <w:rsid w:val="1C146065"/>
    <w:rsid w:val="1C166281"/>
    <w:rsid w:val="1C185B56"/>
    <w:rsid w:val="1C1E6826"/>
    <w:rsid w:val="1C23700A"/>
    <w:rsid w:val="1C295854"/>
    <w:rsid w:val="1C3549DD"/>
    <w:rsid w:val="1C3D55BC"/>
    <w:rsid w:val="1C4921B3"/>
    <w:rsid w:val="1C526663"/>
    <w:rsid w:val="1C580648"/>
    <w:rsid w:val="1C582994"/>
    <w:rsid w:val="1C5B1EE6"/>
    <w:rsid w:val="1C5F28FD"/>
    <w:rsid w:val="1C6C7C4F"/>
    <w:rsid w:val="1C6D5910"/>
    <w:rsid w:val="1C6F7ECC"/>
    <w:rsid w:val="1C744D56"/>
    <w:rsid w:val="1C8B5FB5"/>
    <w:rsid w:val="1C93342E"/>
    <w:rsid w:val="1C980A44"/>
    <w:rsid w:val="1C986C96"/>
    <w:rsid w:val="1C9A0C60"/>
    <w:rsid w:val="1CA15CD3"/>
    <w:rsid w:val="1CA217A3"/>
    <w:rsid w:val="1CA70C88"/>
    <w:rsid w:val="1CBE467A"/>
    <w:rsid w:val="1CC21F65"/>
    <w:rsid w:val="1CC56BA8"/>
    <w:rsid w:val="1CC76152"/>
    <w:rsid w:val="1CCB2BC8"/>
    <w:rsid w:val="1CD64E0A"/>
    <w:rsid w:val="1CDF3B2A"/>
    <w:rsid w:val="1CE75528"/>
    <w:rsid w:val="1CF41996"/>
    <w:rsid w:val="1D0205B4"/>
    <w:rsid w:val="1D0E559E"/>
    <w:rsid w:val="1D1502E7"/>
    <w:rsid w:val="1D152095"/>
    <w:rsid w:val="1D2107EC"/>
    <w:rsid w:val="1D26096A"/>
    <w:rsid w:val="1D444728"/>
    <w:rsid w:val="1D4C2A2E"/>
    <w:rsid w:val="1D4D5CD3"/>
    <w:rsid w:val="1D532BBD"/>
    <w:rsid w:val="1D7274E7"/>
    <w:rsid w:val="1D7C0366"/>
    <w:rsid w:val="1D7C3EC2"/>
    <w:rsid w:val="1D8F1E47"/>
    <w:rsid w:val="1D927B8A"/>
    <w:rsid w:val="1D990837"/>
    <w:rsid w:val="1D9A259A"/>
    <w:rsid w:val="1DB0236F"/>
    <w:rsid w:val="1DB25ED3"/>
    <w:rsid w:val="1DB50D67"/>
    <w:rsid w:val="1DBA2C3C"/>
    <w:rsid w:val="1DC35F95"/>
    <w:rsid w:val="1DC56587"/>
    <w:rsid w:val="1DCC309C"/>
    <w:rsid w:val="1DD33597"/>
    <w:rsid w:val="1DDE3BBE"/>
    <w:rsid w:val="1DE33F41"/>
    <w:rsid w:val="1DEF28E6"/>
    <w:rsid w:val="1E026ABD"/>
    <w:rsid w:val="1E045B53"/>
    <w:rsid w:val="1E0565AE"/>
    <w:rsid w:val="1E0A5972"/>
    <w:rsid w:val="1E1007AF"/>
    <w:rsid w:val="1E117F64"/>
    <w:rsid w:val="1E171E3D"/>
    <w:rsid w:val="1E193E07"/>
    <w:rsid w:val="1E1B192D"/>
    <w:rsid w:val="1E2527AC"/>
    <w:rsid w:val="1E256308"/>
    <w:rsid w:val="1E28404A"/>
    <w:rsid w:val="1E29229C"/>
    <w:rsid w:val="1E2F362A"/>
    <w:rsid w:val="1E320A25"/>
    <w:rsid w:val="1E340C41"/>
    <w:rsid w:val="1E3649B9"/>
    <w:rsid w:val="1E3E561C"/>
    <w:rsid w:val="1E437AC0"/>
    <w:rsid w:val="1E5135A1"/>
    <w:rsid w:val="1E544E3F"/>
    <w:rsid w:val="1E58492F"/>
    <w:rsid w:val="1E672DC4"/>
    <w:rsid w:val="1E690C4B"/>
    <w:rsid w:val="1E731769"/>
    <w:rsid w:val="1E780B2E"/>
    <w:rsid w:val="1E876FC3"/>
    <w:rsid w:val="1E8F7C25"/>
    <w:rsid w:val="1E91399D"/>
    <w:rsid w:val="1E921F83"/>
    <w:rsid w:val="1EA41923"/>
    <w:rsid w:val="1EBD4792"/>
    <w:rsid w:val="1EBF49AE"/>
    <w:rsid w:val="1ECC70CB"/>
    <w:rsid w:val="1EDD4E34"/>
    <w:rsid w:val="1EDF7A05"/>
    <w:rsid w:val="1EE00481"/>
    <w:rsid w:val="1EE267D0"/>
    <w:rsid w:val="1EEC146E"/>
    <w:rsid w:val="1EEF70E3"/>
    <w:rsid w:val="1EF36406"/>
    <w:rsid w:val="1EF53F2C"/>
    <w:rsid w:val="1F093E7B"/>
    <w:rsid w:val="1F0C1276"/>
    <w:rsid w:val="1F0E3240"/>
    <w:rsid w:val="1F1177E5"/>
    <w:rsid w:val="1F1B62C8"/>
    <w:rsid w:val="1F1C5897"/>
    <w:rsid w:val="1F291E28"/>
    <w:rsid w:val="1F2C1918"/>
    <w:rsid w:val="1F33268E"/>
    <w:rsid w:val="1F372797"/>
    <w:rsid w:val="1F3D58D3"/>
    <w:rsid w:val="1F4849A4"/>
    <w:rsid w:val="1F4B4494"/>
    <w:rsid w:val="1F511DCC"/>
    <w:rsid w:val="1F5A0233"/>
    <w:rsid w:val="1F5E5F75"/>
    <w:rsid w:val="1F604CFF"/>
    <w:rsid w:val="1F666BD8"/>
    <w:rsid w:val="1F6966C8"/>
    <w:rsid w:val="1F6B0692"/>
    <w:rsid w:val="1F7237CF"/>
    <w:rsid w:val="1F7D0CD8"/>
    <w:rsid w:val="1F811C64"/>
    <w:rsid w:val="1F841754"/>
    <w:rsid w:val="1F8641DE"/>
    <w:rsid w:val="1F903C55"/>
    <w:rsid w:val="1F953056"/>
    <w:rsid w:val="1F974FE3"/>
    <w:rsid w:val="1F9951FF"/>
    <w:rsid w:val="1FA871F0"/>
    <w:rsid w:val="1FB40BA0"/>
    <w:rsid w:val="1FBF453A"/>
    <w:rsid w:val="1FC3402A"/>
    <w:rsid w:val="1FC34680"/>
    <w:rsid w:val="1FC87893"/>
    <w:rsid w:val="1FCB2EDF"/>
    <w:rsid w:val="1FD51490"/>
    <w:rsid w:val="1FD56FC3"/>
    <w:rsid w:val="1FD60202"/>
    <w:rsid w:val="1FD9384E"/>
    <w:rsid w:val="1FDE0E64"/>
    <w:rsid w:val="1FE346CD"/>
    <w:rsid w:val="1FEA15B7"/>
    <w:rsid w:val="1FEF3071"/>
    <w:rsid w:val="1FF93EF0"/>
    <w:rsid w:val="1FF95C9E"/>
    <w:rsid w:val="20000DDB"/>
    <w:rsid w:val="2000527E"/>
    <w:rsid w:val="20104D96"/>
    <w:rsid w:val="201B3E66"/>
    <w:rsid w:val="201C198C"/>
    <w:rsid w:val="202076CF"/>
    <w:rsid w:val="20234AC9"/>
    <w:rsid w:val="20254CE5"/>
    <w:rsid w:val="20315438"/>
    <w:rsid w:val="203211B0"/>
    <w:rsid w:val="20384A18"/>
    <w:rsid w:val="204330BE"/>
    <w:rsid w:val="20474C5B"/>
    <w:rsid w:val="20531852"/>
    <w:rsid w:val="20542ED4"/>
    <w:rsid w:val="2059498F"/>
    <w:rsid w:val="20631369"/>
    <w:rsid w:val="206425C2"/>
    <w:rsid w:val="206C6470"/>
    <w:rsid w:val="20796ADA"/>
    <w:rsid w:val="207D067D"/>
    <w:rsid w:val="207D242B"/>
    <w:rsid w:val="207D68CF"/>
    <w:rsid w:val="20867A46"/>
    <w:rsid w:val="20914128"/>
    <w:rsid w:val="20A73E96"/>
    <w:rsid w:val="20C462AC"/>
    <w:rsid w:val="20CC5161"/>
    <w:rsid w:val="20D504B9"/>
    <w:rsid w:val="20D81D57"/>
    <w:rsid w:val="20DD111C"/>
    <w:rsid w:val="20DD736E"/>
    <w:rsid w:val="20E22BD6"/>
    <w:rsid w:val="20E66EE4"/>
    <w:rsid w:val="20E95D13"/>
    <w:rsid w:val="20F36B91"/>
    <w:rsid w:val="210668C5"/>
    <w:rsid w:val="210F504D"/>
    <w:rsid w:val="211A0DC1"/>
    <w:rsid w:val="211C60D5"/>
    <w:rsid w:val="211D3C0E"/>
    <w:rsid w:val="21240AF9"/>
    <w:rsid w:val="21244F9D"/>
    <w:rsid w:val="212A1E87"/>
    <w:rsid w:val="212B632B"/>
    <w:rsid w:val="212D20A3"/>
    <w:rsid w:val="212F6C7E"/>
    <w:rsid w:val="213845A4"/>
    <w:rsid w:val="213A031C"/>
    <w:rsid w:val="213A0410"/>
    <w:rsid w:val="213B5E42"/>
    <w:rsid w:val="213C0149"/>
    <w:rsid w:val="213D1BBA"/>
    <w:rsid w:val="213F1DD6"/>
    <w:rsid w:val="214473ED"/>
    <w:rsid w:val="21470C8B"/>
    <w:rsid w:val="215A09BE"/>
    <w:rsid w:val="21657A51"/>
    <w:rsid w:val="21804DE1"/>
    <w:rsid w:val="21816057"/>
    <w:rsid w:val="21837F15"/>
    <w:rsid w:val="218912A4"/>
    <w:rsid w:val="218B6DCA"/>
    <w:rsid w:val="219034EC"/>
    <w:rsid w:val="21920D12"/>
    <w:rsid w:val="21AB121A"/>
    <w:rsid w:val="21AD6D40"/>
    <w:rsid w:val="21B06830"/>
    <w:rsid w:val="21B31E7D"/>
    <w:rsid w:val="21B52099"/>
    <w:rsid w:val="21BE719F"/>
    <w:rsid w:val="21C565C2"/>
    <w:rsid w:val="21CD2F3E"/>
    <w:rsid w:val="21D02A2F"/>
    <w:rsid w:val="21D4251F"/>
    <w:rsid w:val="21DA1AFF"/>
    <w:rsid w:val="21DE0AE6"/>
    <w:rsid w:val="21E309B4"/>
    <w:rsid w:val="21F229A5"/>
    <w:rsid w:val="21FD00DF"/>
    <w:rsid w:val="220A5F40"/>
    <w:rsid w:val="220F79FB"/>
    <w:rsid w:val="22105521"/>
    <w:rsid w:val="221A1EFC"/>
    <w:rsid w:val="22284619"/>
    <w:rsid w:val="222B4109"/>
    <w:rsid w:val="222D1C2F"/>
    <w:rsid w:val="222D60D3"/>
    <w:rsid w:val="222F5786"/>
    <w:rsid w:val="22364F87"/>
    <w:rsid w:val="22396826"/>
    <w:rsid w:val="223D2792"/>
    <w:rsid w:val="224C47AB"/>
    <w:rsid w:val="224D407F"/>
    <w:rsid w:val="225E36D5"/>
    <w:rsid w:val="228A52D3"/>
    <w:rsid w:val="228E7354"/>
    <w:rsid w:val="22910410"/>
    <w:rsid w:val="229B303C"/>
    <w:rsid w:val="229B30BA"/>
    <w:rsid w:val="22A07C2A"/>
    <w:rsid w:val="22A15498"/>
    <w:rsid w:val="22AA3280"/>
    <w:rsid w:val="22AC349C"/>
    <w:rsid w:val="22AD2D70"/>
    <w:rsid w:val="22BD1205"/>
    <w:rsid w:val="22CF718A"/>
    <w:rsid w:val="22DC20F8"/>
    <w:rsid w:val="22EE7610"/>
    <w:rsid w:val="22F15352"/>
    <w:rsid w:val="22F62969"/>
    <w:rsid w:val="22F866E1"/>
    <w:rsid w:val="2300072C"/>
    <w:rsid w:val="2300561C"/>
    <w:rsid w:val="23204EEC"/>
    <w:rsid w:val="23222015"/>
    <w:rsid w:val="232738CC"/>
    <w:rsid w:val="2338088B"/>
    <w:rsid w:val="233A7FAB"/>
    <w:rsid w:val="233D40F4"/>
    <w:rsid w:val="23445482"/>
    <w:rsid w:val="2346744C"/>
    <w:rsid w:val="234F1F97"/>
    <w:rsid w:val="23533B1F"/>
    <w:rsid w:val="23580F2E"/>
    <w:rsid w:val="236538B9"/>
    <w:rsid w:val="236C49D9"/>
    <w:rsid w:val="23763FD0"/>
    <w:rsid w:val="238910E7"/>
    <w:rsid w:val="23897A86"/>
    <w:rsid w:val="239301B8"/>
    <w:rsid w:val="23965D70"/>
    <w:rsid w:val="23975438"/>
    <w:rsid w:val="23AE4FF1"/>
    <w:rsid w:val="23B1063E"/>
    <w:rsid w:val="23C50B33"/>
    <w:rsid w:val="23C66127"/>
    <w:rsid w:val="23D700A4"/>
    <w:rsid w:val="23DE058B"/>
    <w:rsid w:val="23DF164F"/>
    <w:rsid w:val="23E60031"/>
    <w:rsid w:val="23E80035"/>
    <w:rsid w:val="23E924D3"/>
    <w:rsid w:val="23EB1DA2"/>
    <w:rsid w:val="23ED1676"/>
    <w:rsid w:val="23FA3D93"/>
    <w:rsid w:val="23FC281B"/>
    <w:rsid w:val="23FC3FAF"/>
    <w:rsid w:val="2403533D"/>
    <w:rsid w:val="240E783E"/>
    <w:rsid w:val="241646BB"/>
    <w:rsid w:val="24174945"/>
    <w:rsid w:val="241F18CE"/>
    <w:rsid w:val="24225D3A"/>
    <w:rsid w:val="24294678"/>
    <w:rsid w:val="242A7D75"/>
    <w:rsid w:val="24360AB7"/>
    <w:rsid w:val="243B4AD7"/>
    <w:rsid w:val="24417C14"/>
    <w:rsid w:val="24455956"/>
    <w:rsid w:val="244F2331"/>
    <w:rsid w:val="24545B99"/>
    <w:rsid w:val="245636BF"/>
    <w:rsid w:val="2457217A"/>
    <w:rsid w:val="246C1AD7"/>
    <w:rsid w:val="246F652F"/>
    <w:rsid w:val="24724271"/>
    <w:rsid w:val="24745286"/>
    <w:rsid w:val="24763D61"/>
    <w:rsid w:val="247B3126"/>
    <w:rsid w:val="248210CC"/>
    <w:rsid w:val="248A15BB"/>
    <w:rsid w:val="248B0E8F"/>
    <w:rsid w:val="248D4C07"/>
    <w:rsid w:val="24961D0D"/>
    <w:rsid w:val="24977834"/>
    <w:rsid w:val="24AC7783"/>
    <w:rsid w:val="24AD7057"/>
    <w:rsid w:val="24AF1021"/>
    <w:rsid w:val="24B403E6"/>
    <w:rsid w:val="24B67115"/>
    <w:rsid w:val="24B81EA4"/>
    <w:rsid w:val="24BC54EC"/>
    <w:rsid w:val="24C50845"/>
    <w:rsid w:val="24C745BD"/>
    <w:rsid w:val="24CB64D3"/>
    <w:rsid w:val="24CD14A7"/>
    <w:rsid w:val="24DA393D"/>
    <w:rsid w:val="24DC0587"/>
    <w:rsid w:val="24DD5B8E"/>
    <w:rsid w:val="24E46F1D"/>
    <w:rsid w:val="24F9229C"/>
    <w:rsid w:val="24FE5668"/>
    <w:rsid w:val="251B2213"/>
    <w:rsid w:val="2527114A"/>
    <w:rsid w:val="253B4663"/>
    <w:rsid w:val="253D03DB"/>
    <w:rsid w:val="253F23A5"/>
    <w:rsid w:val="2540611D"/>
    <w:rsid w:val="25423C43"/>
    <w:rsid w:val="254259F1"/>
    <w:rsid w:val="25473008"/>
    <w:rsid w:val="255E0351"/>
    <w:rsid w:val="256A03AD"/>
    <w:rsid w:val="256A4F48"/>
    <w:rsid w:val="256E5E4F"/>
    <w:rsid w:val="257007B0"/>
    <w:rsid w:val="257C53A7"/>
    <w:rsid w:val="257D111F"/>
    <w:rsid w:val="2584600A"/>
    <w:rsid w:val="258B383C"/>
    <w:rsid w:val="25900E53"/>
    <w:rsid w:val="259B3353"/>
    <w:rsid w:val="25AB3597"/>
    <w:rsid w:val="25B05051"/>
    <w:rsid w:val="25BA0A55"/>
    <w:rsid w:val="25C2684C"/>
    <w:rsid w:val="25CD79B1"/>
    <w:rsid w:val="25CE062E"/>
    <w:rsid w:val="25CE3729"/>
    <w:rsid w:val="25E371D4"/>
    <w:rsid w:val="25E76599"/>
    <w:rsid w:val="25E82A3D"/>
    <w:rsid w:val="25E94AF1"/>
    <w:rsid w:val="25F115FE"/>
    <w:rsid w:val="25F533FB"/>
    <w:rsid w:val="2604714B"/>
    <w:rsid w:val="260A23B5"/>
    <w:rsid w:val="2610121F"/>
    <w:rsid w:val="261C4494"/>
    <w:rsid w:val="26235823"/>
    <w:rsid w:val="26395046"/>
    <w:rsid w:val="263B7010"/>
    <w:rsid w:val="264659B5"/>
    <w:rsid w:val="264A7253"/>
    <w:rsid w:val="264B6B28"/>
    <w:rsid w:val="264F5B79"/>
    <w:rsid w:val="265F10E3"/>
    <w:rsid w:val="266B42B1"/>
    <w:rsid w:val="267442D0"/>
    <w:rsid w:val="26747E2C"/>
    <w:rsid w:val="26775B6F"/>
    <w:rsid w:val="267A11BB"/>
    <w:rsid w:val="267E0ED9"/>
    <w:rsid w:val="268169ED"/>
    <w:rsid w:val="2685028B"/>
    <w:rsid w:val="268564DD"/>
    <w:rsid w:val="26904972"/>
    <w:rsid w:val="269B3FD2"/>
    <w:rsid w:val="26B02E2F"/>
    <w:rsid w:val="26B648E9"/>
    <w:rsid w:val="26B90C98"/>
    <w:rsid w:val="26B97F35"/>
    <w:rsid w:val="26C12A90"/>
    <w:rsid w:val="26C568DA"/>
    <w:rsid w:val="26E72CF4"/>
    <w:rsid w:val="26E86A6C"/>
    <w:rsid w:val="26E97426"/>
    <w:rsid w:val="26EB3E67"/>
    <w:rsid w:val="26F471BF"/>
    <w:rsid w:val="26F61189"/>
    <w:rsid w:val="26F70A5D"/>
    <w:rsid w:val="26F927DC"/>
    <w:rsid w:val="27035654"/>
    <w:rsid w:val="27042C3A"/>
    <w:rsid w:val="270748C4"/>
    <w:rsid w:val="270C635A"/>
    <w:rsid w:val="270F7B55"/>
    <w:rsid w:val="271908BA"/>
    <w:rsid w:val="27277595"/>
    <w:rsid w:val="272D447F"/>
    <w:rsid w:val="27392E24"/>
    <w:rsid w:val="273D46C2"/>
    <w:rsid w:val="274A3283"/>
    <w:rsid w:val="274A6DDF"/>
    <w:rsid w:val="2755558A"/>
    <w:rsid w:val="27561C28"/>
    <w:rsid w:val="276500BD"/>
    <w:rsid w:val="276B56D3"/>
    <w:rsid w:val="276C4FA7"/>
    <w:rsid w:val="277A373B"/>
    <w:rsid w:val="27826579"/>
    <w:rsid w:val="278B2C87"/>
    <w:rsid w:val="278C564A"/>
    <w:rsid w:val="27930786"/>
    <w:rsid w:val="27A04C51"/>
    <w:rsid w:val="27A40BE5"/>
    <w:rsid w:val="27B55209"/>
    <w:rsid w:val="27BC5F2F"/>
    <w:rsid w:val="27BD1CA7"/>
    <w:rsid w:val="27BE025E"/>
    <w:rsid w:val="27C070A1"/>
    <w:rsid w:val="27D56FF1"/>
    <w:rsid w:val="27D8263D"/>
    <w:rsid w:val="27DF1C1D"/>
    <w:rsid w:val="27ED267E"/>
    <w:rsid w:val="27EF6DC9"/>
    <w:rsid w:val="27F92BDD"/>
    <w:rsid w:val="27FF7BCA"/>
    <w:rsid w:val="280E605F"/>
    <w:rsid w:val="28155DD8"/>
    <w:rsid w:val="281713B7"/>
    <w:rsid w:val="28180C8B"/>
    <w:rsid w:val="281C4C20"/>
    <w:rsid w:val="282B4E63"/>
    <w:rsid w:val="282E04AF"/>
    <w:rsid w:val="2830793F"/>
    <w:rsid w:val="284877C3"/>
    <w:rsid w:val="28553C8E"/>
    <w:rsid w:val="285A5748"/>
    <w:rsid w:val="285F4B0C"/>
    <w:rsid w:val="285F643D"/>
    <w:rsid w:val="28603EFF"/>
    <w:rsid w:val="28620159"/>
    <w:rsid w:val="286D7229"/>
    <w:rsid w:val="28706D19"/>
    <w:rsid w:val="28814A83"/>
    <w:rsid w:val="288325A9"/>
    <w:rsid w:val="288876B1"/>
    <w:rsid w:val="288B3B53"/>
    <w:rsid w:val="288B76AF"/>
    <w:rsid w:val="288D78CB"/>
    <w:rsid w:val="28902F18"/>
    <w:rsid w:val="28A40771"/>
    <w:rsid w:val="28A6098D"/>
    <w:rsid w:val="28A721D0"/>
    <w:rsid w:val="28A95D87"/>
    <w:rsid w:val="28AB1AFF"/>
    <w:rsid w:val="28B22E8E"/>
    <w:rsid w:val="28B27332"/>
    <w:rsid w:val="28C055AB"/>
    <w:rsid w:val="28C11323"/>
    <w:rsid w:val="28CC03F4"/>
    <w:rsid w:val="28D15059"/>
    <w:rsid w:val="28D472A8"/>
    <w:rsid w:val="28D728F5"/>
    <w:rsid w:val="28DC615D"/>
    <w:rsid w:val="28F25980"/>
    <w:rsid w:val="28F811E9"/>
    <w:rsid w:val="28FB65E3"/>
    <w:rsid w:val="29023E15"/>
    <w:rsid w:val="29053906"/>
    <w:rsid w:val="29064F88"/>
    <w:rsid w:val="291E49C7"/>
    <w:rsid w:val="29231FDE"/>
    <w:rsid w:val="29235B3A"/>
    <w:rsid w:val="29284336"/>
    <w:rsid w:val="292A336C"/>
    <w:rsid w:val="292C158E"/>
    <w:rsid w:val="292E4C0A"/>
    <w:rsid w:val="293D309F"/>
    <w:rsid w:val="293E4722"/>
    <w:rsid w:val="29477A7A"/>
    <w:rsid w:val="294A30C6"/>
    <w:rsid w:val="294D2BB7"/>
    <w:rsid w:val="29510CF9"/>
    <w:rsid w:val="295403E9"/>
    <w:rsid w:val="295B4966"/>
    <w:rsid w:val="295D53A7"/>
    <w:rsid w:val="29682792"/>
    <w:rsid w:val="2973086F"/>
    <w:rsid w:val="29733D0B"/>
    <w:rsid w:val="29765CFA"/>
    <w:rsid w:val="2984482A"/>
    <w:rsid w:val="299D3B3E"/>
    <w:rsid w:val="29A22F02"/>
    <w:rsid w:val="29A80B0E"/>
    <w:rsid w:val="29B11A3D"/>
    <w:rsid w:val="29B33362"/>
    <w:rsid w:val="29B50E88"/>
    <w:rsid w:val="29B833B7"/>
    <w:rsid w:val="29BD5F8E"/>
    <w:rsid w:val="29BF1D06"/>
    <w:rsid w:val="29C015DB"/>
    <w:rsid w:val="29C4112C"/>
    <w:rsid w:val="29CC7F7F"/>
    <w:rsid w:val="29CE5AA6"/>
    <w:rsid w:val="29D137E8"/>
    <w:rsid w:val="29DD218D"/>
    <w:rsid w:val="29E11806"/>
    <w:rsid w:val="29E4176D"/>
    <w:rsid w:val="29EE7EF6"/>
    <w:rsid w:val="29FC6AB7"/>
    <w:rsid w:val="2A036979"/>
    <w:rsid w:val="2A063491"/>
    <w:rsid w:val="2A0D0CC4"/>
    <w:rsid w:val="2A111E36"/>
    <w:rsid w:val="2A1B3E79"/>
    <w:rsid w:val="2A1C0F07"/>
    <w:rsid w:val="2A1D6A2D"/>
    <w:rsid w:val="2A261D13"/>
    <w:rsid w:val="2A2E045E"/>
    <w:rsid w:val="2A3C6EB3"/>
    <w:rsid w:val="2A44045E"/>
    <w:rsid w:val="2A50472C"/>
    <w:rsid w:val="2A5A37DD"/>
    <w:rsid w:val="2A61691A"/>
    <w:rsid w:val="2A6544FE"/>
    <w:rsid w:val="2A691C72"/>
    <w:rsid w:val="2A693A20"/>
    <w:rsid w:val="2A790107"/>
    <w:rsid w:val="2A7B715C"/>
    <w:rsid w:val="2A7C19A5"/>
    <w:rsid w:val="2A8B3997"/>
    <w:rsid w:val="2A90316C"/>
    <w:rsid w:val="2A992557"/>
    <w:rsid w:val="2AA84549"/>
    <w:rsid w:val="2AB27175"/>
    <w:rsid w:val="2AB56C65"/>
    <w:rsid w:val="2ACB6489"/>
    <w:rsid w:val="2ACF7D27"/>
    <w:rsid w:val="2AD215C5"/>
    <w:rsid w:val="2ADA40E9"/>
    <w:rsid w:val="2ADB491E"/>
    <w:rsid w:val="2AE337D3"/>
    <w:rsid w:val="2AE5073C"/>
    <w:rsid w:val="2AEC6B2B"/>
    <w:rsid w:val="2AED63FF"/>
    <w:rsid w:val="2AEF4E4D"/>
    <w:rsid w:val="2AF71BDD"/>
    <w:rsid w:val="2AFA0B1C"/>
    <w:rsid w:val="2B02421F"/>
    <w:rsid w:val="2B02634F"/>
    <w:rsid w:val="2B05199B"/>
    <w:rsid w:val="2B0D6AA1"/>
    <w:rsid w:val="2B22254D"/>
    <w:rsid w:val="2B277B63"/>
    <w:rsid w:val="2B2F4C6A"/>
    <w:rsid w:val="2B3D2678"/>
    <w:rsid w:val="2B3D7387"/>
    <w:rsid w:val="2B45448D"/>
    <w:rsid w:val="2B5E3A41"/>
    <w:rsid w:val="2B603075"/>
    <w:rsid w:val="2B7408CF"/>
    <w:rsid w:val="2B7B3A0B"/>
    <w:rsid w:val="2B8209DE"/>
    <w:rsid w:val="2B842F73"/>
    <w:rsid w:val="2B852ADC"/>
    <w:rsid w:val="2B8A1EA0"/>
    <w:rsid w:val="2B8C5C18"/>
    <w:rsid w:val="2B8E7BE2"/>
    <w:rsid w:val="2B8F395A"/>
    <w:rsid w:val="2B9E6AE3"/>
    <w:rsid w:val="2BA2543C"/>
    <w:rsid w:val="2BA411B4"/>
    <w:rsid w:val="2BA56CDA"/>
    <w:rsid w:val="2BAA609E"/>
    <w:rsid w:val="2BC0564F"/>
    <w:rsid w:val="2BC25ADE"/>
    <w:rsid w:val="2BC5737C"/>
    <w:rsid w:val="2BC929C8"/>
    <w:rsid w:val="2BCE6231"/>
    <w:rsid w:val="2BCF3D57"/>
    <w:rsid w:val="2BD14220"/>
    <w:rsid w:val="2BD17256"/>
    <w:rsid w:val="2BD4136D"/>
    <w:rsid w:val="2BD80E5D"/>
    <w:rsid w:val="2BDC448D"/>
    <w:rsid w:val="2BE041B6"/>
    <w:rsid w:val="2BE772F2"/>
    <w:rsid w:val="2BF8505C"/>
    <w:rsid w:val="2BFC0FF0"/>
    <w:rsid w:val="2C02237E"/>
    <w:rsid w:val="2C073A9F"/>
    <w:rsid w:val="2C0B1233"/>
    <w:rsid w:val="2C1125C1"/>
    <w:rsid w:val="2C11611D"/>
    <w:rsid w:val="2C131E96"/>
    <w:rsid w:val="2C3047F6"/>
    <w:rsid w:val="2C31056E"/>
    <w:rsid w:val="2C3342E6"/>
    <w:rsid w:val="2C3F0EDD"/>
    <w:rsid w:val="2C4B162F"/>
    <w:rsid w:val="2C526E62"/>
    <w:rsid w:val="2C581F9E"/>
    <w:rsid w:val="2C5A0151"/>
    <w:rsid w:val="2C5D1363"/>
    <w:rsid w:val="2C673F8F"/>
    <w:rsid w:val="2C6D5A4A"/>
    <w:rsid w:val="2C6E17C2"/>
    <w:rsid w:val="2C730B86"/>
    <w:rsid w:val="2C770676"/>
    <w:rsid w:val="2C7768C8"/>
    <w:rsid w:val="2C792640"/>
    <w:rsid w:val="2C7E7C57"/>
    <w:rsid w:val="2C8B2374"/>
    <w:rsid w:val="2C92725E"/>
    <w:rsid w:val="2C981658"/>
    <w:rsid w:val="2C9F197B"/>
    <w:rsid w:val="2CAE78BA"/>
    <w:rsid w:val="2CB63A29"/>
    <w:rsid w:val="2CC15D95"/>
    <w:rsid w:val="2CC41E1C"/>
    <w:rsid w:val="2CE37ABA"/>
    <w:rsid w:val="2CED6B8B"/>
    <w:rsid w:val="2CEF2903"/>
    <w:rsid w:val="2CF0645E"/>
    <w:rsid w:val="2CF55A3F"/>
    <w:rsid w:val="2D1063D5"/>
    <w:rsid w:val="2D145EC5"/>
    <w:rsid w:val="2D202ABC"/>
    <w:rsid w:val="2D26209C"/>
    <w:rsid w:val="2D297AB8"/>
    <w:rsid w:val="2D2B3ABD"/>
    <w:rsid w:val="2D300825"/>
    <w:rsid w:val="2D31482C"/>
    <w:rsid w:val="2D3C71CA"/>
    <w:rsid w:val="2D547E3F"/>
    <w:rsid w:val="2D5704A8"/>
    <w:rsid w:val="2D6055AE"/>
    <w:rsid w:val="2D630BFB"/>
    <w:rsid w:val="2D6A1F89"/>
    <w:rsid w:val="2D6C5D01"/>
    <w:rsid w:val="2D707262"/>
    <w:rsid w:val="2D774D67"/>
    <w:rsid w:val="2D7B5F44"/>
    <w:rsid w:val="2D851A50"/>
    <w:rsid w:val="2D8C63A3"/>
    <w:rsid w:val="2D8D3ECA"/>
    <w:rsid w:val="2D922480"/>
    <w:rsid w:val="2D986AF6"/>
    <w:rsid w:val="2D9D235F"/>
    <w:rsid w:val="2DA57465"/>
    <w:rsid w:val="2DAF5BEE"/>
    <w:rsid w:val="2DB66F7C"/>
    <w:rsid w:val="2DBA2F11"/>
    <w:rsid w:val="2DBE4083"/>
    <w:rsid w:val="2DC31699"/>
    <w:rsid w:val="2DCC49F2"/>
    <w:rsid w:val="2DCF6290"/>
    <w:rsid w:val="2DE33AEA"/>
    <w:rsid w:val="2DF126AA"/>
    <w:rsid w:val="2DF52258"/>
    <w:rsid w:val="2DF53F49"/>
    <w:rsid w:val="2E0028ED"/>
    <w:rsid w:val="2E0B376C"/>
    <w:rsid w:val="2E1819E5"/>
    <w:rsid w:val="2E2B5978"/>
    <w:rsid w:val="2E2C34BE"/>
    <w:rsid w:val="2E3335ED"/>
    <w:rsid w:val="2E5642BC"/>
    <w:rsid w:val="2E5F13C2"/>
    <w:rsid w:val="2E60513A"/>
    <w:rsid w:val="2E652751"/>
    <w:rsid w:val="2E6C1441"/>
    <w:rsid w:val="2E6C3ADF"/>
    <w:rsid w:val="2E76495E"/>
    <w:rsid w:val="2E772BB0"/>
    <w:rsid w:val="2E7924DB"/>
    <w:rsid w:val="2E7C6418"/>
    <w:rsid w:val="2E894691"/>
    <w:rsid w:val="2E935510"/>
    <w:rsid w:val="2E9848D4"/>
    <w:rsid w:val="2E9C6FC9"/>
    <w:rsid w:val="2E9F2106"/>
    <w:rsid w:val="2EA17C2D"/>
    <w:rsid w:val="2EAE2349"/>
    <w:rsid w:val="2EB23BE8"/>
    <w:rsid w:val="2EB3170E"/>
    <w:rsid w:val="2EB50EC8"/>
    <w:rsid w:val="2EB57234"/>
    <w:rsid w:val="2EB72FAC"/>
    <w:rsid w:val="2EBC05C2"/>
    <w:rsid w:val="2EC41B6D"/>
    <w:rsid w:val="2EC8340B"/>
    <w:rsid w:val="2EC92CDF"/>
    <w:rsid w:val="2ECE479A"/>
    <w:rsid w:val="2ED06C87"/>
    <w:rsid w:val="2EDA6C9B"/>
    <w:rsid w:val="2EE144CD"/>
    <w:rsid w:val="2EF02962"/>
    <w:rsid w:val="2EF04710"/>
    <w:rsid w:val="2EFE507F"/>
    <w:rsid w:val="2EFE6E2D"/>
    <w:rsid w:val="2F000DF7"/>
    <w:rsid w:val="2F097580"/>
    <w:rsid w:val="2F0E4B96"/>
    <w:rsid w:val="2F131123"/>
    <w:rsid w:val="2F1877C3"/>
    <w:rsid w:val="2F1A178D"/>
    <w:rsid w:val="2F1E74CF"/>
    <w:rsid w:val="2F1F5DDD"/>
    <w:rsid w:val="2F3E547B"/>
    <w:rsid w:val="2F4A0BC3"/>
    <w:rsid w:val="2F4C45FD"/>
    <w:rsid w:val="2F5E5B1E"/>
    <w:rsid w:val="2F6824F8"/>
    <w:rsid w:val="2F6B3945"/>
    <w:rsid w:val="2F7013AD"/>
    <w:rsid w:val="2F7377FA"/>
    <w:rsid w:val="2F754C15"/>
    <w:rsid w:val="2F8D062D"/>
    <w:rsid w:val="2F927575"/>
    <w:rsid w:val="2F974B8C"/>
    <w:rsid w:val="2FA21EAE"/>
    <w:rsid w:val="2FA774C5"/>
    <w:rsid w:val="2FAF1ED5"/>
    <w:rsid w:val="2FBE480E"/>
    <w:rsid w:val="2FBE55F0"/>
    <w:rsid w:val="2FC5794B"/>
    <w:rsid w:val="2FCA34B5"/>
    <w:rsid w:val="2FCA4F61"/>
    <w:rsid w:val="2FCF4325"/>
    <w:rsid w:val="2FD858D0"/>
    <w:rsid w:val="2FDE0A0C"/>
    <w:rsid w:val="2FE57FED"/>
    <w:rsid w:val="2FEA73B1"/>
    <w:rsid w:val="2FED29FE"/>
    <w:rsid w:val="2FEE6EA1"/>
    <w:rsid w:val="2FEF2C1A"/>
    <w:rsid w:val="30000983"/>
    <w:rsid w:val="300246FB"/>
    <w:rsid w:val="300A1801"/>
    <w:rsid w:val="302208F9"/>
    <w:rsid w:val="30274161"/>
    <w:rsid w:val="302A3C52"/>
    <w:rsid w:val="302A5A00"/>
    <w:rsid w:val="302F3016"/>
    <w:rsid w:val="30314FE0"/>
    <w:rsid w:val="30336FAA"/>
    <w:rsid w:val="30395C43"/>
    <w:rsid w:val="303E2C6D"/>
    <w:rsid w:val="3040285A"/>
    <w:rsid w:val="304676BA"/>
    <w:rsid w:val="30474BAF"/>
    <w:rsid w:val="304B79DA"/>
    <w:rsid w:val="30647164"/>
    <w:rsid w:val="306B04F2"/>
    <w:rsid w:val="306D3728"/>
    <w:rsid w:val="306F40B0"/>
    <w:rsid w:val="307355F9"/>
    <w:rsid w:val="307F7AFA"/>
    <w:rsid w:val="308109FB"/>
    <w:rsid w:val="30894E1C"/>
    <w:rsid w:val="308B0B94"/>
    <w:rsid w:val="308B12EC"/>
    <w:rsid w:val="308B2942"/>
    <w:rsid w:val="30AE65C7"/>
    <w:rsid w:val="30BC0D4E"/>
    <w:rsid w:val="30CB71E3"/>
    <w:rsid w:val="30CE6CD3"/>
    <w:rsid w:val="30D50061"/>
    <w:rsid w:val="30DF4A3C"/>
    <w:rsid w:val="30DF67EA"/>
    <w:rsid w:val="30E513EC"/>
    <w:rsid w:val="30EE1123"/>
    <w:rsid w:val="30EE2ED1"/>
    <w:rsid w:val="30F2476F"/>
    <w:rsid w:val="30F32296"/>
    <w:rsid w:val="310426F5"/>
    <w:rsid w:val="3106021B"/>
    <w:rsid w:val="3106646D"/>
    <w:rsid w:val="31093867"/>
    <w:rsid w:val="310E5321"/>
    <w:rsid w:val="310F17F5"/>
    <w:rsid w:val="311B7BE1"/>
    <w:rsid w:val="31336B36"/>
    <w:rsid w:val="31374878"/>
    <w:rsid w:val="313C59EB"/>
    <w:rsid w:val="313F54DB"/>
    <w:rsid w:val="314D5E4A"/>
    <w:rsid w:val="31523460"/>
    <w:rsid w:val="31607C0D"/>
    <w:rsid w:val="316311C9"/>
    <w:rsid w:val="316E7B6E"/>
    <w:rsid w:val="317C04DD"/>
    <w:rsid w:val="317E6003"/>
    <w:rsid w:val="318B6972"/>
    <w:rsid w:val="318C4BC4"/>
    <w:rsid w:val="31905D36"/>
    <w:rsid w:val="3196159F"/>
    <w:rsid w:val="319C0B7F"/>
    <w:rsid w:val="31B61C41"/>
    <w:rsid w:val="31B639EF"/>
    <w:rsid w:val="31C96BA3"/>
    <w:rsid w:val="31CA56EC"/>
    <w:rsid w:val="31DC56CD"/>
    <w:rsid w:val="31E56082"/>
    <w:rsid w:val="31E8533B"/>
    <w:rsid w:val="31F215CB"/>
    <w:rsid w:val="31F2254D"/>
    <w:rsid w:val="31F7161C"/>
    <w:rsid w:val="31F84007"/>
    <w:rsid w:val="31F8639A"/>
    <w:rsid w:val="31FC2089"/>
    <w:rsid w:val="320209E2"/>
    <w:rsid w:val="320504D2"/>
    <w:rsid w:val="3207424B"/>
    <w:rsid w:val="32087FC3"/>
    <w:rsid w:val="3220355E"/>
    <w:rsid w:val="3220530C"/>
    <w:rsid w:val="32230959"/>
    <w:rsid w:val="32270449"/>
    <w:rsid w:val="3227669B"/>
    <w:rsid w:val="322841C1"/>
    <w:rsid w:val="32456B21"/>
    <w:rsid w:val="32574819"/>
    <w:rsid w:val="32586854"/>
    <w:rsid w:val="325E7BE3"/>
    <w:rsid w:val="32601BAD"/>
    <w:rsid w:val="32733DC8"/>
    <w:rsid w:val="32935ADE"/>
    <w:rsid w:val="32A25D21"/>
    <w:rsid w:val="32A47CEB"/>
    <w:rsid w:val="32AC094E"/>
    <w:rsid w:val="32AE0B6A"/>
    <w:rsid w:val="32C40510"/>
    <w:rsid w:val="32C97752"/>
    <w:rsid w:val="32CB34CA"/>
    <w:rsid w:val="32D61E6F"/>
    <w:rsid w:val="32DD144F"/>
    <w:rsid w:val="32E427DE"/>
    <w:rsid w:val="32E91BA2"/>
    <w:rsid w:val="32F73DAD"/>
    <w:rsid w:val="32FA3DAF"/>
    <w:rsid w:val="32FA790B"/>
    <w:rsid w:val="32FB3683"/>
    <w:rsid w:val="32FC18D5"/>
    <w:rsid w:val="32FC45AE"/>
    <w:rsid w:val="3316226B"/>
    <w:rsid w:val="331946E5"/>
    <w:rsid w:val="331C3D26"/>
    <w:rsid w:val="331C3F96"/>
    <w:rsid w:val="33233306"/>
    <w:rsid w:val="33274478"/>
    <w:rsid w:val="33294694"/>
    <w:rsid w:val="33296443"/>
    <w:rsid w:val="332D7CE1"/>
    <w:rsid w:val="332E5807"/>
    <w:rsid w:val="33525999"/>
    <w:rsid w:val="335F1E64"/>
    <w:rsid w:val="336456CD"/>
    <w:rsid w:val="336535DC"/>
    <w:rsid w:val="33664FA1"/>
    <w:rsid w:val="33704071"/>
    <w:rsid w:val="33721B98"/>
    <w:rsid w:val="337A0A4C"/>
    <w:rsid w:val="337F6063"/>
    <w:rsid w:val="33811DDB"/>
    <w:rsid w:val="33812F3E"/>
    <w:rsid w:val="33833DA5"/>
    <w:rsid w:val="338A5133"/>
    <w:rsid w:val="338D077F"/>
    <w:rsid w:val="33947D60"/>
    <w:rsid w:val="339C09C3"/>
    <w:rsid w:val="339C5CE5"/>
    <w:rsid w:val="33A04957"/>
    <w:rsid w:val="33A67A93"/>
    <w:rsid w:val="33AA7583"/>
    <w:rsid w:val="33B63021"/>
    <w:rsid w:val="33B958BF"/>
    <w:rsid w:val="33BC72B7"/>
    <w:rsid w:val="33C543BD"/>
    <w:rsid w:val="33D62126"/>
    <w:rsid w:val="33D8027A"/>
    <w:rsid w:val="33DE547F"/>
    <w:rsid w:val="33E118EB"/>
    <w:rsid w:val="33E800AC"/>
    <w:rsid w:val="33E83C08"/>
    <w:rsid w:val="33EA7061"/>
    <w:rsid w:val="33F22CD8"/>
    <w:rsid w:val="34000F51"/>
    <w:rsid w:val="34034792"/>
    <w:rsid w:val="340D7B12"/>
    <w:rsid w:val="34160775"/>
    <w:rsid w:val="342A2472"/>
    <w:rsid w:val="342A4220"/>
    <w:rsid w:val="344352E2"/>
    <w:rsid w:val="34474DD2"/>
    <w:rsid w:val="344A6A9D"/>
    <w:rsid w:val="344F3C09"/>
    <w:rsid w:val="345D45F6"/>
    <w:rsid w:val="345E3ECA"/>
    <w:rsid w:val="34713F61"/>
    <w:rsid w:val="3474193F"/>
    <w:rsid w:val="347D07F4"/>
    <w:rsid w:val="348002E4"/>
    <w:rsid w:val="34880F47"/>
    <w:rsid w:val="348E0C53"/>
    <w:rsid w:val="348F22D5"/>
    <w:rsid w:val="349B511E"/>
    <w:rsid w:val="349E076A"/>
    <w:rsid w:val="34A57D4B"/>
    <w:rsid w:val="34B800A1"/>
    <w:rsid w:val="34B85CD0"/>
    <w:rsid w:val="34BB30CA"/>
    <w:rsid w:val="34BE44CC"/>
    <w:rsid w:val="34C226AB"/>
    <w:rsid w:val="34CC52D7"/>
    <w:rsid w:val="34CE2DFE"/>
    <w:rsid w:val="34D10B40"/>
    <w:rsid w:val="34D32B0A"/>
    <w:rsid w:val="34D670AE"/>
    <w:rsid w:val="34DA79F4"/>
    <w:rsid w:val="34DB376C"/>
    <w:rsid w:val="34E70363"/>
    <w:rsid w:val="34EC7728"/>
    <w:rsid w:val="34F11CC9"/>
    <w:rsid w:val="34F30AB6"/>
    <w:rsid w:val="34F565DC"/>
    <w:rsid w:val="34FB7939"/>
    <w:rsid w:val="35004F81"/>
    <w:rsid w:val="35020CF9"/>
    <w:rsid w:val="350902DA"/>
    <w:rsid w:val="350C6B72"/>
    <w:rsid w:val="350F1808"/>
    <w:rsid w:val="35101668"/>
    <w:rsid w:val="35171576"/>
    <w:rsid w:val="35174A50"/>
    <w:rsid w:val="35195F41"/>
    <w:rsid w:val="351F5D4F"/>
    <w:rsid w:val="352275ED"/>
    <w:rsid w:val="353D61D5"/>
    <w:rsid w:val="354163CF"/>
    <w:rsid w:val="355552CD"/>
    <w:rsid w:val="355754E9"/>
    <w:rsid w:val="35584DBD"/>
    <w:rsid w:val="355C48AD"/>
    <w:rsid w:val="35635C3C"/>
    <w:rsid w:val="3566572C"/>
    <w:rsid w:val="3569521C"/>
    <w:rsid w:val="35747E49"/>
    <w:rsid w:val="357B61E4"/>
    <w:rsid w:val="359027A9"/>
    <w:rsid w:val="35977693"/>
    <w:rsid w:val="3599165E"/>
    <w:rsid w:val="35A3072E"/>
    <w:rsid w:val="35A40002"/>
    <w:rsid w:val="35A87AF3"/>
    <w:rsid w:val="35BC534C"/>
    <w:rsid w:val="35C2521A"/>
    <w:rsid w:val="35D02BA5"/>
    <w:rsid w:val="35D569D0"/>
    <w:rsid w:val="35DE52C2"/>
    <w:rsid w:val="35E6686D"/>
    <w:rsid w:val="35E825E5"/>
    <w:rsid w:val="35F76384"/>
    <w:rsid w:val="35F965A0"/>
    <w:rsid w:val="360B0081"/>
    <w:rsid w:val="360C62D3"/>
    <w:rsid w:val="36252EF1"/>
    <w:rsid w:val="362C2EF1"/>
    <w:rsid w:val="364041CF"/>
    <w:rsid w:val="36413AA3"/>
    <w:rsid w:val="364250AF"/>
    <w:rsid w:val="364D069A"/>
    <w:rsid w:val="3651512A"/>
    <w:rsid w:val="36545584"/>
    <w:rsid w:val="365A6A30"/>
    <w:rsid w:val="365E6403"/>
    <w:rsid w:val="36625EF3"/>
    <w:rsid w:val="366A4DA8"/>
    <w:rsid w:val="366E2AEA"/>
    <w:rsid w:val="36743E79"/>
    <w:rsid w:val="36743EE1"/>
    <w:rsid w:val="36744F52"/>
    <w:rsid w:val="36750402"/>
    <w:rsid w:val="367F4CF7"/>
    <w:rsid w:val="368220F2"/>
    <w:rsid w:val="36826596"/>
    <w:rsid w:val="368F2A60"/>
    <w:rsid w:val="369026C7"/>
    <w:rsid w:val="36910587"/>
    <w:rsid w:val="369D33CF"/>
    <w:rsid w:val="36A54032"/>
    <w:rsid w:val="36B10C29"/>
    <w:rsid w:val="36B64491"/>
    <w:rsid w:val="36B9188B"/>
    <w:rsid w:val="36C00E6C"/>
    <w:rsid w:val="36C24173"/>
    <w:rsid w:val="36C26992"/>
    <w:rsid w:val="36C344B8"/>
    <w:rsid w:val="36C463C1"/>
    <w:rsid w:val="36D641EB"/>
    <w:rsid w:val="36DF5796"/>
    <w:rsid w:val="36E0506A"/>
    <w:rsid w:val="36EC2FD2"/>
    <w:rsid w:val="36F6663C"/>
    <w:rsid w:val="36FD5C1C"/>
    <w:rsid w:val="370451FC"/>
    <w:rsid w:val="37052D23"/>
    <w:rsid w:val="370B587C"/>
    <w:rsid w:val="371051F2"/>
    <w:rsid w:val="37113475"/>
    <w:rsid w:val="371511B8"/>
    <w:rsid w:val="371D62BE"/>
    <w:rsid w:val="372A4537"/>
    <w:rsid w:val="3736112E"/>
    <w:rsid w:val="373D24BC"/>
    <w:rsid w:val="373F7FE3"/>
    <w:rsid w:val="37461371"/>
    <w:rsid w:val="3749654A"/>
    <w:rsid w:val="375021F0"/>
    <w:rsid w:val="37531CE0"/>
    <w:rsid w:val="375810A4"/>
    <w:rsid w:val="375A12C0"/>
    <w:rsid w:val="375A4E1C"/>
    <w:rsid w:val="375D490D"/>
    <w:rsid w:val="376143FD"/>
    <w:rsid w:val="376161AB"/>
    <w:rsid w:val="376E6743"/>
    <w:rsid w:val="37704640"/>
    <w:rsid w:val="37716023"/>
    <w:rsid w:val="37732382"/>
    <w:rsid w:val="37767142"/>
    <w:rsid w:val="377C16DD"/>
    <w:rsid w:val="377C3ECB"/>
    <w:rsid w:val="377F4883"/>
    <w:rsid w:val="379C5435"/>
    <w:rsid w:val="379C71E3"/>
    <w:rsid w:val="379F4F25"/>
    <w:rsid w:val="37A75B88"/>
    <w:rsid w:val="37AA2DE4"/>
    <w:rsid w:val="37AC435C"/>
    <w:rsid w:val="37C64260"/>
    <w:rsid w:val="37C8447C"/>
    <w:rsid w:val="37CF580A"/>
    <w:rsid w:val="37D3697D"/>
    <w:rsid w:val="37D44BCF"/>
    <w:rsid w:val="37D506DE"/>
    <w:rsid w:val="37E172EC"/>
    <w:rsid w:val="37EA2644"/>
    <w:rsid w:val="37EF7C5B"/>
    <w:rsid w:val="37F7266B"/>
    <w:rsid w:val="38066D52"/>
    <w:rsid w:val="3809239F"/>
    <w:rsid w:val="380A0678"/>
    <w:rsid w:val="380A6843"/>
    <w:rsid w:val="381551E7"/>
    <w:rsid w:val="38207E14"/>
    <w:rsid w:val="38376740"/>
    <w:rsid w:val="3839587C"/>
    <w:rsid w:val="384440D0"/>
    <w:rsid w:val="384E39DC"/>
    <w:rsid w:val="38575800"/>
    <w:rsid w:val="385950D4"/>
    <w:rsid w:val="387168C2"/>
    <w:rsid w:val="38877E93"/>
    <w:rsid w:val="388A1666"/>
    <w:rsid w:val="388F4F9A"/>
    <w:rsid w:val="388F6D48"/>
    <w:rsid w:val="38995E18"/>
    <w:rsid w:val="38997BC6"/>
    <w:rsid w:val="38A171BA"/>
    <w:rsid w:val="38A24CCD"/>
    <w:rsid w:val="38A345A1"/>
    <w:rsid w:val="38A547BD"/>
    <w:rsid w:val="38A81BB8"/>
    <w:rsid w:val="38B13162"/>
    <w:rsid w:val="38B93DC5"/>
    <w:rsid w:val="38C904AC"/>
    <w:rsid w:val="38D004F4"/>
    <w:rsid w:val="38D429AD"/>
    <w:rsid w:val="38D94467"/>
    <w:rsid w:val="38E76B84"/>
    <w:rsid w:val="38EF5A38"/>
    <w:rsid w:val="38FA68B7"/>
    <w:rsid w:val="38FB618B"/>
    <w:rsid w:val="39007C46"/>
    <w:rsid w:val="39137979"/>
    <w:rsid w:val="39167469"/>
    <w:rsid w:val="391A0D07"/>
    <w:rsid w:val="39257BD3"/>
    <w:rsid w:val="392A081F"/>
    <w:rsid w:val="393873DF"/>
    <w:rsid w:val="39396CB4"/>
    <w:rsid w:val="393B0C7E"/>
    <w:rsid w:val="393C6ED0"/>
    <w:rsid w:val="394713D0"/>
    <w:rsid w:val="39477622"/>
    <w:rsid w:val="394B57D9"/>
    <w:rsid w:val="395104A1"/>
    <w:rsid w:val="39535FC7"/>
    <w:rsid w:val="39565AB7"/>
    <w:rsid w:val="39576612"/>
    <w:rsid w:val="395A0970"/>
    <w:rsid w:val="395E0781"/>
    <w:rsid w:val="395F671A"/>
    <w:rsid w:val="396472E1"/>
    <w:rsid w:val="39657AA9"/>
    <w:rsid w:val="39693A3D"/>
    <w:rsid w:val="397330FD"/>
    <w:rsid w:val="39761CB6"/>
    <w:rsid w:val="39783C80"/>
    <w:rsid w:val="397C3770"/>
    <w:rsid w:val="399430B5"/>
    <w:rsid w:val="39974106"/>
    <w:rsid w:val="399B34CA"/>
    <w:rsid w:val="399F120C"/>
    <w:rsid w:val="39A20CFD"/>
    <w:rsid w:val="39B60304"/>
    <w:rsid w:val="39B918D9"/>
    <w:rsid w:val="39CB14DD"/>
    <w:rsid w:val="39D0586A"/>
    <w:rsid w:val="39D80976"/>
    <w:rsid w:val="39E3559D"/>
    <w:rsid w:val="39E3734B"/>
    <w:rsid w:val="39E430C3"/>
    <w:rsid w:val="39EB26A4"/>
    <w:rsid w:val="39F07CBA"/>
    <w:rsid w:val="39F350B4"/>
    <w:rsid w:val="39FA6443"/>
    <w:rsid w:val="39FE1DE4"/>
    <w:rsid w:val="39FF1CAB"/>
    <w:rsid w:val="3A125E82"/>
    <w:rsid w:val="3A1514CF"/>
    <w:rsid w:val="3A1A6AE5"/>
    <w:rsid w:val="3A210785"/>
    <w:rsid w:val="3A3000B7"/>
    <w:rsid w:val="3A4C08DD"/>
    <w:rsid w:val="3A596459"/>
    <w:rsid w:val="3A5F086E"/>
    <w:rsid w:val="3A5F274A"/>
    <w:rsid w:val="3A6B10EF"/>
    <w:rsid w:val="3A6D130B"/>
    <w:rsid w:val="3A72247D"/>
    <w:rsid w:val="3A7252D2"/>
    <w:rsid w:val="3A797CAF"/>
    <w:rsid w:val="3A7B57D6"/>
    <w:rsid w:val="3A7B6635"/>
    <w:rsid w:val="3A842CCD"/>
    <w:rsid w:val="3A8E2130"/>
    <w:rsid w:val="3A9248CD"/>
    <w:rsid w:val="3A944AE9"/>
    <w:rsid w:val="3AA50AA5"/>
    <w:rsid w:val="3AAA4318"/>
    <w:rsid w:val="3AAC1E33"/>
    <w:rsid w:val="3ACD1DA9"/>
    <w:rsid w:val="3AD460FB"/>
    <w:rsid w:val="3AD76784"/>
    <w:rsid w:val="3AE25532"/>
    <w:rsid w:val="3AE45FDA"/>
    <w:rsid w:val="3AE62049"/>
    <w:rsid w:val="3AEB17F2"/>
    <w:rsid w:val="3AEC66D3"/>
    <w:rsid w:val="3AEE244B"/>
    <w:rsid w:val="3AF36C0B"/>
    <w:rsid w:val="3AFB2473"/>
    <w:rsid w:val="3AFB781A"/>
    <w:rsid w:val="3B0357CB"/>
    <w:rsid w:val="3B0F4170"/>
    <w:rsid w:val="3B141786"/>
    <w:rsid w:val="3B163750"/>
    <w:rsid w:val="3B247C1B"/>
    <w:rsid w:val="3B2C087E"/>
    <w:rsid w:val="3B334302"/>
    <w:rsid w:val="3B3616FD"/>
    <w:rsid w:val="3B497682"/>
    <w:rsid w:val="3B585B17"/>
    <w:rsid w:val="3B586026"/>
    <w:rsid w:val="3B5A363D"/>
    <w:rsid w:val="3B620744"/>
    <w:rsid w:val="3B626996"/>
    <w:rsid w:val="3B677B08"/>
    <w:rsid w:val="3B7B35B3"/>
    <w:rsid w:val="3B820DE6"/>
    <w:rsid w:val="3B844B5E"/>
    <w:rsid w:val="3B8C3A12"/>
    <w:rsid w:val="3B8D6CB0"/>
    <w:rsid w:val="3B8F66EA"/>
    <w:rsid w:val="3B985F13"/>
    <w:rsid w:val="3B9F72A2"/>
    <w:rsid w:val="3BA448B8"/>
    <w:rsid w:val="3BA743A8"/>
    <w:rsid w:val="3BB6283D"/>
    <w:rsid w:val="3BB64FAE"/>
    <w:rsid w:val="3BBF5B96"/>
    <w:rsid w:val="3BCE402B"/>
    <w:rsid w:val="3BDD426E"/>
    <w:rsid w:val="3BE21884"/>
    <w:rsid w:val="3BE63123"/>
    <w:rsid w:val="3BE9676F"/>
    <w:rsid w:val="3BF05D4F"/>
    <w:rsid w:val="3BF849A3"/>
    <w:rsid w:val="3C0161AE"/>
    <w:rsid w:val="3C0E61D6"/>
    <w:rsid w:val="3C1063F2"/>
    <w:rsid w:val="3C12216A"/>
    <w:rsid w:val="3C1618F8"/>
    <w:rsid w:val="3C184ED4"/>
    <w:rsid w:val="3C1E28BD"/>
    <w:rsid w:val="3C1F6635"/>
    <w:rsid w:val="3C355E58"/>
    <w:rsid w:val="3C37397E"/>
    <w:rsid w:val="3C3F2833"/>
    <w:rsid w:val="3C44609B"/>
    <w:rsid w:val="3C456863"/>
    <w:rsid w:val="3C4B11D8"/>
    <w:rsid w:val="3C4B567C"/>
    <w:rsid w:val="3C4C6219"/>
    <w:rsid w:val="3C4D13F4"/>
    <w:rsid w:val="3C55525C"/>
    <w:rsid w:val="3C580899"/>
    <w:rsid w:val="3C6F136A"/>
    <w:rsid w:val="3C722C08"/>
    <w:rsid w:val="3C7626F9"/>
    <w:rsid w:val="3C77021F"/>
    <w:rsid w:val="3C81109D"/>
    <w:rsid w:val="3C836BC3"/>
    <w:rsid w:val="3C9506A5"/>
    <w:rsid w:val="3C971BFF"/>
    <w:rsid w:val="3CB57ED9"/>
    <w:rsid w:val="3CC65551"/>
    <w:rsid w:val="3CCB0A1D"/>
    <w:rsid w:val="3CCF3BB7"/>
    <w:rsid w:val="3CD15B81"/>
    <w:rsid w:val="3CD4741F"/>
    <w:rsid w:val="3CD613E9"/>
    <w:rsid w:val="3CD76F0F"/>
    <w:rsid w:val="3CDB450B"/>
    <w:rsid w:val="3CE31410"/>
    <w:rsid w:val="3CED228F"/>
    <w:rsid w:val="3CEF64D6"/>
    <w:rsid w:val="3CF4186F"/>
    <w:rsid w:val="3CF7310E"/>
    <w:rsid w:val="3CFB49AC"/>
    <w:rsid w:val="3D045F71"/>
    <w:rsid w:val="3D0C4E0B"/>
    <w:rsid w:val="3D0D46DF"/>
    <w:rsid w:val="3D141F11"/>
    <w:rsid w:val="3D1617E6"/>
    <w:rsid w:val="3D204412"/>
    <w:rsid w:val="3D233F03"/>
    <w:rsid w:val="3D251A29"/>
    <w:rsid w:val="3D2B44D7"/>
    <w:rsid w:val="3D363C36"/>
    <w:rsid w:val="3D3B124C"/>
    <w:rsid w:val="3D480316"/>
    <w:rsid w:val="3D4C3459"/>
    <w:rsid w:val="3D521142"/>
    <w:rsid w:val="3D53739E"/>
    <w:rsid w:val="3D540560"/>
    <w:rsid w:val="3D580050"/>
    <w:rsid w:val="3D580EC1"/>
    <w:rsid w:val="3D644B60"/>
    <w:rsid w:val="3D6C3AFB"/>
    <w:rsid w:val="3D7435EB"/>
    <w:rsid w:val="3D762284"/>
    <w:rsid w:val="3D7D2067"/>
    <w:rsid w:val="3D864BBD"/>
    <w:rsid w:val="3D8A3F82"/>
    <w:rsid w:val="3D8D3E1A"/>
    <w:rsid w:val="3D962926"/>
    <w:rsid w:val="3D9D5A63"/>
    <w:rsid w:val="3DAC5CA6"/>
    <w:rsid w:val="3DB35286"/>
    <w:rsid w:val="3DBF59D9"/>
    <w:rsid w:val="3DCC6348"/>
    <w:rsid w:val="3DD75419"/>
    <w:rsid w:val="3DF5589F"/>
    <w:rsid w:val="3DF77869"/>
    <w:rsid w:val="3DF97E17"/>
    <w:rsid w:val="3DFA1107"/>
    <w:rsid w:val="3E0C4997"/>
    <w:rsid w:val="3E0E070F"/>
    <w:rsid w:val="3E104487"/>
    <w:rsid w:val="3E155F41"/>
    <w:rsid w:val="3E175815"/>
    <w:rsid w:val="3E1D0952"/>
    <w:rsid w:val="3E2241BA"/>
    <w:rsid w:val="3E246184"/>
    <w:rsid w:val="3E295549"/>
    <w:rsid w:val="3E2B7513"/>
    <w:rsid w:val="3E2E7003"/>
    <w:rsid w:val="3E330175"/>
    <w:rsid w:val="3E3839DE"/>
    <w:rsid w:val="3E3A7756"/>
    <w:rsid w:val="3E40583A"/>
    <w:rsid w:val="3E483C21"/>
    <w:rsid w:val="3E4E3201"/>
    <w:rsid w:val="3E516151"/>
    <w:rsid w:val="3E5C591E"/>
    <w:rsid w:val="3E602137"/>
    <w:rsid w:val="3E614CE2"/>
    <w:rsid w:val="3E66054B"/>
    <w:rsid w:val="3E6F5651"/>
    <w:rsid w:val="3E6F60C9"/>
    <w:rsid w:val="3E734A16"/>
    <w:rsid w:val="3E8135D7"/>
    <w:rsid w:val="3E817133"/>
    <w:rsid w:val="3E8310FD"/>
    <w:rsid w:val="3E8E35FE"/>
    <w:rsid w:val="3E9055C8"/>
    <w:rsid w:val="3E970704"/>
    <w:rsid w:val="3E9A01F4"/>
    <w:rsid w:val="3EB63280"/>
    <w:rsid w:val="3EB70DA6"/>
    <w:rsid w:val="3EBE3EE3"/>
    <w:rsid w:val="3ED10D4C"/>
    <w:rsid w:val="3ED5122D"/>
    <w:rsid w:val="3EDD6E27"/>
    <w:rsid w:val="3EE651E8"/>
    <w:rsid w:val="3EEF6792"/>
    <w:rsid w:val="3EF75647"/>
    <w:rsid w:val="3EFC2C5D"/>
    <w:rsid w:val="3F0062A9"/>
    <w:rsid w:val="3F010273"/>
    <w:rsid w:val="3F06588A"/>
    <w:rsid w:val="3F0A7128"/>
    <w:rsid w:val="3F0C10F2"/>
    <w:rsid w:val="3F122481"/>
    <w:rsid w:val="3F185CE9"/>
    <w:rsid w:val="3F1B30E3"/>
    <w:rsid w:val="3F1B7587"/>
    <w:rsid w:val="3F1C6E5B"/>
    <w:rsid w:val="3F1E4982"/>
    <w:rsid w:val="3F277CDA"/>
    <w:rsid w:val="3F283A52"/>
    <w:rsid w:val="3F2B709E"/>
    <w:rsid w:val="3F3441A5"/>
    <w:rsid w:val="3F3519A3"/>
    <w:rsid w:val="3F3643C1"/>
    <w:rsid w:val="3F423E4F"/>
    <w:rsid w:val="3F4C5993"/>
    <w:rsid w:val="3F544847"/>
    <w:rsid w:val="3F5860E5"/>
    <w:rsid w:val="3F6A406B"/>
    <w:rsid w:val="3F6C7DE3"/>
    <w:rsid w:val="3F7A2500"/>
    <w:rsid w:val="3F7B7B8A"/>
    <w:rsid w:val="3F7E6EC2"/>
    <w:rsid w:val="3F854A01"/>
    <w:rsid w:val="3F8E5FAB"/>
    <w:rsid w:val="3F9115F7"/>
    <w:rsid w:val="3F964E60"/>
    <w:rsid w:val="3F9966FE"/>
    <w:rsid w:val="3F9B5FD2"/>
    <w:rsid w:val="3FA4132B"/>
    <w:rsid w:val="3FA806EF"/>
    <w:rsid w:val="3FAB0A7F"/>
    <w:rsid w:val="3FAC6431"/>
    <w:rsid w:val="3FB84DD6"/>
    <w:rsid w:val="3FCA4B09"/>
    <w:rsid w:val="3FCC0881"/>
    <w:rsid w:val="3FD414E4"/>
    <w:rsid w:val="3FDA4D4C"/>
    <w:rsid w:val="3FDD65EB"/>
    <w:rsid w:val="3FE01B52"/>
    <w:rsid w:val="3FE32D99"/>
    <w:rsid w:val="3FF102E8"/>
    <w:rsid w:val="3FF10940"/>
    <w:rsid w:val="3FF534DA"/>
    <w:rsid w:val="3FF87828"/>
    <w:rsid w:val="3FFA719D"/>
    <w:rsid w:val="401144E6"/>
    <w:rsid w:val="401F09B1"/>
    <w:rsid w:val="40464190"/>
    <w:rsid w:val="405014B2"/>
    <w:rsid w:val="405922D9"/>
    <w:rsid w:val="406114CC"/>
    <w:rsid w:val="406421C4"/>
    <w:rsid w:val="406E7B8B"/>
    <w:rsid w:val="407C4056"/>
    <w:rsid w:val="40867B64"/>
    <w:rsid w:val="40880C4C"/>
    <w:rsid w:val="408818DE"/>
    <w:rsid w:val="40925627"/>
    <w:rsid w:val="409E221E"/>
    <w:rsid w:val="40A02997"/>
    <w:rsid w:val="40A1586A"/>
    <w:rsid w:val="40A84E4B"/>
    <w:rsid w:val="40BA5A01"/>
    <w:rsid w:val="40BD0F36"/>
    <w:rsid w:val="40BE466E"/>
    <w:rsid w:val="40C31C84"/>
    <w:rsid w:val="40D43E92"/>
    <w:rsid w:val="40D914A8"/>
    <w:rsid w:val="40D95004"/>
    <w:rsid w:val="40DF6392"/>
    <w:rsid w:val="40E13EB9"/>
    <w:rsid w:val="40E340D5"/>
    <w:rsid w:val="40E67721"/>
    <w:rsid w:val="40E83499"/>
    <w:rsid w:val="40ED0AAF"/>
    <w:rsid w:val="40ED6D01"/>
    <w:rsid w:val="40F0234E"/>
    <w:rsid w:val="40F57964"/>
    <w:rsid w:val="40FC622F"/>
    <w:rsid w:val="40FE10B7"/>
    <w:rsid w:val="410127AD"/>
    <w:rsid w:val="411B561D"/>
    <w:rsid w:val="411F17A1"/>
    <w:rsid w:val="41262D64"/>
    <w:rsid w:val="412A3AB2"/>
    <w:rsid w:val="412D35A2"/>
    <w:rsid w:val="412D5350"/>
    <w:rsid w:val="41390199"/>
    <w:rsid w:val="41395AA3"/>
    <w:rsid w:val="413C37E5"/>
    <w:rsid w:val="41422894"/>
    <w:rsid w:val="41483F38"/>
    <w:rsid w:val="414A452E"/>
    <w:rsid w:val="415E1A56"/>
    <w:rsid w:val="417E204F"/>
    <w:rsid w:val="417F6E70"/>
    <w:rsid w:val="41801923"/>
    <w:rsid w:val="41874A60"/>
    <w:rsid w:val="418A09F4"/>
    <w:rsid w:val="418C2076"/>
    <w:rsid w:val="41926E18"/>
    <w:rsid w:val="419929E5"/>
    <w:rsid w:val="41AA233E"/>
    <w:rsid w:val="41AA2E44"/>
    <w:rsid w:val="41AF4562"/>
    <w:rsid w:val="41B47C8E"/>
    <w:rsid w:val="41B94E35"/>
    <w:rsid w:val="41C061C4"/>
    <w:rsid w:val="41DB1250"/>
    <w:rsid w:val="41E2613A"/>
    <w:rsid w:val="420662CD"/>
    <w:rsid w:val="420F6490"/>
    <w:rsid w:val="42213106"/>
    <w:rsid w:val="422E312E"/>
    <w:rsid w:val="42310E70"/>
    <w:rsid w:val="423B584A"/>
    <w:rsid w:val="423C1CEE"/>
    <w:rsid w:val="423D5A66"/>
    <w:rsid w:val="424010B3"/>
    <w:rsid w:val="4241307A"/>
    <w:rsid w:val="425F3C2F"/>
    <w:rsid w:val="426052B1"/>
    <w:rsid w:val="426B6130"/>
    <w:rsid w:val="4283791D"/>
    <w:rsid w:val="4292190E"/>
    <w:rsid w:val="429A07C3"/>
    <w:rsid w:val="429D02B3"/>
    <w:rsid w:val="429F4E62"/>
    <w:rsid w:val="429F54E4"/>
    <w:rsid w:val="42A17DA3"/>
    <w:rsid w:val="42B45D29"/>
    <w:rsid w:val="42B71375"/>
    <w:rsid w:val="42B775C7"/>
    <w:rsid w:val="42BA70B7"/>
    <w:rsid w:val="42BC4BDD"/>
    <w:rsid w:val="42BC698B"/>
    <w:rsid w:val="42BE04AF"/>
    <w:rsid w:val="42C41CE4"/>
    <w:rsid w:val="42C57F36"/>
    <w:rsid w:val="42C7049C"/>
    <w:rsid w:val="42CB3072"/>
    <w:rsid w:val="42CE66BF"/>
    <w:rsid w:val="42D66C73"/>
    <w:rsid w:val="42D93B7B"/>
    <w:rsid w:val="42D9578F"/>
    <w:rsid w:val="42DA32B5"/>
    <w:rsid w:val="42DC527F"/>
    <w:rsid w:val="42DE0FF8"/>
    <w:rsid w:val="42DE2DA6"/>
    <w:rsid w:val="42DF6358"/>
    <w:rsid w:val="42E12896"/>
    <w:rsid w:val="42E303BC"/>
    <w:rsid w:val="42E3762A"/>
    <w:rsid w:val="42E45EE2"/>
    <w:rsid w:val="42EF4FB3"/>
    <w:rsid w:val="42FC147E"/>
    <w:rsid w:val="42FC5CA1"/>
    <w:rsid w:val="43075564"/>
    <w:rsid w:val="430976F7"/>
    <w:rsid w:val="430D71E7"/>
    <w:rsid w:val="43284021"/>
    <w:rsid w:val="4333000A"/>
    <w:rsid w:val="434059D1"/>
    <w:rsid w:val="434150E2"/>
    <w:rsid w:val="43476B9D"/>
    <w:rsid w:val="43526A49"/>
    <w:rsid w:val="43544E16"/>
    <w:rsid w:val="43655275"/>
    <w:rsid w:val="43721740"/>
    <w:rsid w:val="43787A25"/>
    <w:rsid w:val="437B2314"/>
    <w:rsid w:val="437C611B"/>
    <w:rsid w:val="437E00E5"/>
    <w:rsid w:val="43884ABF"/>
    <w:rsid w:val="4396449C"/>
    <w:rsid w:val="43A044FF"/>
    <w:rsid w:val="43AB614F"/>
    <w:rsid w:val="43B27D8E"/>
    <w:rsid w:val="43CA32BE"/>
    <w:rsid w:val="43CF0940"/>
    <w:rsid w:val="43D638D9"/>
    <w:rsid w:val="43D85A47"/>
    <w:rsid w:val="43E73EDC"/>
    <w:rsid w:val="43E97A67"/>
    <w:rsid w:val="43F32881"/>
    <w:rsid w:val="440A7BCA"/>
    <w:rsid w:val="440C342B"/>
    <w:rsid w:val="441728C1"/>
    <w:rsid w:val="441A605F"/>
    <w:rsid w:val="44227892"/>
    <w:rsid w:val="443100E6"/>
    <w:rsid w:val="44310E9B"/>
    <w:rsid w:val="443B5FD6"/>
    <w:rsid w:val="443B7D84"/>
    <w:rsid w:val="443F5AC6"/>
    <w:rsid w:val="444C3D3F"/>
    <w:rsid w:val="44507CD3"/>
    <w:rsid w:val="44586B88"/>
    <w:rsid w:val="44632FF8"/>
    <w:rsid w:val="447055D2"/>
    <w:rsid w:val="44727C49"/>
    <w:rsid w:val="4476222D"/>
    <w:rsid w:val="448E48E2"/>
    <w:rsid w:val="44984918"/>
    <w:rsid w:val="449F47B6"/>
    <w:rsid w:val="44AB4702"/>
    <w:rsid w:val="44BD4C3D"/>
    <w:rsid w:val="44BE2E8F"/>
    <w:rsid w:val="44C00189"/>
    <w:rsid w:val="44C91833"/>
    <w:rsid w:val="44D02BC2"/>
    <w:rsid w:val="44E26451"/>
    <w:rsid w:val="44E83E63"/>
    <w:rsid w:val="44FF5255"/>
    <w:rsid w:val="4504461A"/>
    <w:rsid w:val="45060392"/>
    <w:rsid w:val="4508235C"/>
    <w:rsid w:val="45130755"/>
    <w:rsid w:val="45196317"/>
    <w:rsid w:val="451E56DB"/>
    <w:rsid w:val="451F1453"/>
    <w:rsid w:val="452B1BA6"/>
    <w:rsid w:val="453E0AA9"/>
    <w:rsid w:val="453E7B2C"/>
    <w:rsid w:val="45401AF6"/>
    <w:rsid w:val="4541761C"/>
    <w:rsid w:val="454964D0"/>
    <w:rsid w:val="4550160D"/>
    <w:rsid w:val="45575091"/>
    <w:rsid w:val="45595D15"/>
    <w:rsid w:val="456450B8"/>
    <w:rsid w:val="456A0921"/>
    <w:rsid w:val="45725A27"/>
    <w:rsid w:val="457479F1"/>
    <w:rsid w:val="45765517"/>
    <w:rsid w:val="457E350F"/>
    <w:rsid w:val="45806396"/>
    <w:rsid w:val="458B6AE9"/>
    <w:rsid w:val="458D2861"/>
    <w:rsid w:val="459C4979"/>
    <w:rsid w:val="459E681C"/>
    <w:rsid w:val="45C218AE"/>
    <w:rsid w:val="45CA13BF"/>
    <w:rsid w:val="45CD7101"/>
    <w:rsid w:val="45CF69D6"/>
    <w:rsid w:val="45E5269D"/>
    <w:rsid w:val="45E613B2"/>
    <w:rsid w:val="45E76415"/>
    <w:rsid w:val="45FD1795"/>
    <w:rsid w:val="460254B2"/>
    <w:rsid w:val="46032B23"/>
    <w:rsid w:val="460743C1"/>
    <w:rsid w:val="46160AA8"/>
    <w:rsid w:val="46182FF9"/>
    <w:rsid w:val="46192347"/>
    <w:rsid w:val="461B1C1B"/>
    <w:rsid w:val="462211FB"/>
    <w:rsid w:val="4622553B"/>
    <w:rsid w:val="4622744D"/>
    <w:rsid w:val="4629258A"/>
    <w:rsid w:val="462F0E76"/>
    <w:rsid w:val="463B406B"/>
    <w:rsid w:val="46511AE0"/>
    <w:rsid w:val="465810C1"/>
    <w:rsid w:val="46647A66"/>
    <w:rsid w:val="466F1F67"/>
    <w:rsid w:val="4674757D"/>
    <w:rsid w:val="46774C72"/>
    <w:rsid w:val="46774EA5"/>
    <w:rsid w:val="46787EE8"/>
    <w:rsid w:val="467B090B"/>
    <w:rsid w:val="4683047E"/>
    <w:rsid w:val="4691012F"/>
    <w:rsid w:val="469F0A9E"/>
    <w:rsid w:val="46A240EA"/>
    <w:rsid w:val="46A54D20"/>
    <w:rsid w:val="46B75DE7"/>
    <w:rsid w:val="46D06EA9"/>
    <w:rsid w:val="46E968E9"/>
    <w:rsid w:val="46EB3CE3"/>
    <w:rsid w:val="46EC4B66"/>
    <w:rsid w:val="46F05F04"/>
    <w:rsid w:val="46FF153C"/>
    <w:rsid w:val="470152B5"/>
    <w:rsid w:val="47040901"/>
    <w:rsid w:val="470B1C8F"/>
    <w:rsid w:val="471843AC"/>
    <w:rsid w:val="47190850"/>
    <w:rsid w:val="471E7C15"/>
    <w:rsid w:val="472114B3"/>
    <w:rsid w:val="4722090C"/>
    <w:rsid w:val="472471F5"/>
    <w:rsid w:val="47252F96"/>
    <w:rsid w:val="47292B81"/>
    <w:rsid w:val="4729480B"/>
    <w:rsid w:val="4732208F"/>
    <w:rsid w:val="473A4323"/>
    <w:rsid w:val="474358CD"/>
    <w:rsid w:val="474D4056"/>
    <w:rsid w:val="474D4586"/>
    <w:rsid w:val="474E6F58"/>
    <w:rsid w:val="474E7DCE"/>
    <w:rsid w:val="475315B5"/>
    <w:rsid w:val="47590C4D"/>
    <w:rsid w:val="475E01A1"/>
    <w:rsid w:val="476615BC"/>
    <w:rsid w:val="476C786B"/>
    <w:rsid w:val="4771627F"/>
    <w:rsid w:val="47737835"/>
    <w:rsid w:val="477C116B"/>
    <w:rsid w:val="478050B6"/>
    <w:rsid w:val="478F28C0"/>
    <w:rsid w:val="47971775"/>
    <w:rsid w:val="479779C7"/>
    <w:rsid w:val="479E48B1"/>
    <w:rsid w:val="47A619B8"/>
    <w:rsid w:val="47A70B6F"/>
    <w:rsid w:val="47A83982"/>
    <w:rsid w:val="47AA14A8"/>
    <w:rsid w:val="47AB6FCE"/>
    <w:rsid w:val="47AD71EA"/>
    <w:rsid w:val="47B15A25"/>
    <w:rsid w:val="47BB36B5"/>
    <w:rsid w:val="47CC58C3"/>
    <w:rsid w:val="47D73004"/>
    <w:rsid w:val="47D76015"/>
    <w:rsid w:val="47D91D8D"/>
    <w:rsid w:val="47E250E6"/>
    <w:rsid w:val="47FB5A00"/>
    <w:rsid w:val="48013092"/>
    <w:rsid w:val="48036E0A"/>
    <w:rsid w:val="480E6E62"/>
    <w:rsid w:val="481B05F8"/>
    <w:rsid w:val="48217291"/>
    <w:rsid w:val="482D3E87"/>
    <w:rsid w:val="48311BC9"/>
    <w:rsid w:val="48315726"/>
    <w:rsid w:val="483B65A4"/>
    <w:rsid w:val="483E6094"/>
    <w:rsid w:val="484418DC"/>
    <w:rsid w:val="484A740F"/>
    <w:rsid w:val="48530CA9"/>
    <w:rsid w:val="48592ECE"/>
    <w:rsid w:val="48643D4D"/>
    <w:rsid w:val="48671147"/>
    <w:rsid w:val="486C0E54"/>
    <w:rsid w:val="487815A6"/>
    <w:rsid w:val="487D6BBD"/>
    <w:rsid w:val="487F2935"/>
    <w:rsid w:val="48895562"/>
    <w:rsid w:val="488A12DA"/>
    <w:rsid w:val="4893018E"/>
    <w:rsid w:val="48C06AA9"/>
    <w:rsid w:val="48C26CC5"/>
    <w:rsid w:val="48C91E02"/>
    <w:rsid w:val="48D12A65"/>
    <w:rsid w:val="48D83DF3"/>
    <w:rsid w:val="48D859F6"/>
    <w:rsid w:val="48DF31C5"/>
    <w:rsid w:val="48F350D1"/>
    <w:rsid w:val="48FA1FBB"/>
    <w:rsid w:val="48FD7CFE"/>
    <w:rsid w:val="49000143"/>
    <w:rsid w:val="49033566"/>
    <w:rsid w:val="49042E3A"/>
    <w:rsid w:val="49090450"/>
    <w:rsid w:val="4910358D"/>
    <w:rsid w:val="49113970"/>
    <w:rsid w:val="491A265E"/>
    <w:rsid w:val="491D214E"/>
    <w:rsid w:val="491E6C11"/>
    <w:rsid w:val="49267254"/>
    <w:rsid w:val="49273FBB"/>
    <w:rsid w:val="49290AF3"/>
    <w:rsid w:val="492B6918"/>
    <w:rsid w:val="492D05E3"/>
    <w:rsid w:val="49301E81"/>
    <w:rsid w:val="493D634C"/>
    <w:rsid w:val="493F20C4"/>
    <w:rsid w:val="49423962"/>
    <w:rsid w:val="494616A5"/>
    <w:rsid w:val="494F522F"/>
    <w:rsid w:val="495F23D8"/>
    <w:rsid w:val="496164DE"/>
    <w:rsid w:val="4964396A"/>
    <w:rsid w:val="49647D7D"/>
    <w:rsid w:val="49697141"/>
    <w:rsid w:val="497F6965"/>
    <w:rsid w:val="498126DD"/>
    <w:rsid w:val="4983079B"/>
    <w:rsid w:val="49891591"/>
    <w:rsid w:val="49900B72"/>
    <w:rsid w:val="49920446"/>
    <w:rsid w:val="49A47292"/>
    <w:rsid w:val="49AB59AC"/>
    <w:rsid w:val="49B50875"/>
    <w:rsid w:val="49BE123B"/>
    <w:rsid w:val="49CA233A"/>
    <w:rsid w:val="49CA4084"/>
    <w:rsid w:val="49D547D7"/>
    <w:rsid w:val="49D81E16"/>
    <w:rsid w:val="49D942C7"/>
    <w:rsid w:val="49DA360B"/>
    <w:rsid w:val="49DC3DB7"/>
    <w:rsid w:val="49ED7D72"/>
    <w:rsid w:val="49F50475"/>
    <w:rsid w:val="49FA5FEB"/>
    <w:rsid w:val="4A0250DD"/>
    <w:rsid w:val="4A0330F2"/>
    <w:rsid w:val="4A035E79"/>
    <w:rsid w:val="4A0A4480"/>
    <w:rsid w:val="4A120F43"/>
    <w:rsid w:val="4A187736"/>
    <w:rsid w:val="4A1951D8"/>
    <w:rsid w:val="4A1B668D"/>
    <w:rsid w:val="4A225B4F"/>
    <w:rsid w:val="4A235542"/>
    <w:rsid w:val="4A280DAA"/>
    <w:rsid w:val="4A301A0D"/>
    <w:rsid w:val="4A331C29"/>
    <w:rsid w:val="4A4200BE"/>
    <w:rsid w:val="4A49144C"/>
    <w:rsid w:val="4A513E5D"/>
    <w:rsid w:val="4A5676C5"/>
    <w:rsid w:val="4A5751EC"/>
    <w:rsid w:val="4A5754DD"/>
    <w:rsid w:val="4A5E47CC"/>
    <w:rsid w:val="4A6242BC"/>
    <w:rsid w:val="4A655B5A"/>
    <w:rsid w:val="4A69389D"/>
    <w:rsid w:val="4A7045EA"/>
    <w:rsid w:val="4A791606"/>
    <w:rsid w:val="4A7B3E41"/>
    <w:rsid w:val="4A8846CF"/>
    <w:rsid w:val="4A8F0E29"/>
    <w:rsid w:val="4A965D14"/>
    <w:rsid w:val="4AB10DA0"/>
    <w:rsid w:val="4AB80380"/>
    <w:rsid w:val="4ABF170F"/>
    <w:rsid w:val="4ACC7988"/>
    <w:rsid w:val="4AD11442"/>
    <w:rsid w:val="4AD131F0"/>
    <w:rsid w:val="4AD625B4"/>
    <w:rsid w:val="4AD77183"/>
    <w:rsid w:val="4AF339B0"/>
    <w:rsid w:val="4AF34F14"/>
    <w:rsid w:val="4AFF1B0B"/>
    <w:rsid w:val="4B004857"/>
    <w:rsid w:val="4B007631"/>
    <w:rsid w:val="4B2772B4"/>
    <w:rsid w:val="4B294DDA"/>
    <w:rsid w:val="4B2B4105"/>
    <w:rsid w:val="4B2E0642"/>
    <w:rsid w:val="4B35377F"/>
    <w:rsid w:val="4B38326F"/>
    <w:rsid w:val="4B38501D"/>
    <w:rsid w:val="4B386DCB"/>
    <w:rsid w:val="4B525B6F"/>
    <w:rsid w:val="4B555BCF"/>
    <w:rsid w:val="4B5F10BF"/>
    <w:rsid w:val="4B614574"/>
    <w:rsid w:val="4B644064"/>
    <w:rsid w:val="4B6A5D80"/>
    <w:rsid w:val="4B6F7DE3"/>
    <w:rsid w:val="4B787EAF"/>
    <w:rsid w:val="4B797B0F"/>
    <w:rsid w:val="4B83098E"/>
    <w:rsid w:val="4B8E2E8F"/>
    <w:rsid w:val="4B9761E7"/>
    <w:rsid w:val="4B9E7D2E"/>
    <w:rsid w:val="4BA206E8"/>
    <w:rsid w:val="4BC468B1"/>
    <w:rsid w:val="4BCD40B9"/>
    <w:rsid w:val="4BD016F9"/>
    <w:rsid w:val="4BD27220"/>
    <w:rsid w:val="4BD32866"/>
    <w:rsid w:val="4BD32C84"/>
    <w:rsid w:val="4BD5286C"/>
    <w:rsid w:val="4BDC3BFA"/>
    <w:rsid w:val="4BE62CCB"/>
    <w:rsid w:val="4BF47196"/>
    <w:rsid w:val="4BF52F0E"/>
    <w:rsid w:val="4BF71A09"/>
    <w:rsid w:val="4BF90C50"/>
    <w:rsid w:val="4C066EC9"/>
    <w:rsid w:val="4C0849EF"/>
    <w:rsid w:val="4C0B6120"/>
    <w:rsid w:val="4C100EE7"/>
    <w:rsid w:val="4C2A38FE"/>
    <w:rsid w:val="4C35155C"/>
    <w:rsid w:val="4C3D6D8F"/>
    <w:rsid w:val="4C3D7B84"/>
    <w:rsid w:val="4C3E2B07"/>
    <w:rsid w:val="4C400183"/>
    <w:rsid w:val="4C4C5224"/>
    <w:rsid w:val="4C510ED2"/>
    <w:rsid w:val="4C5145E8"/>
    <w:rsid w:val="4C523AC5"/>
    <w:rsid w:val="4C567E51"/>
    <w:rsid w:val="4C6166A5"/>
    <w:rsid w:val="4C68258E"/>
    <w:rsid w:val="4C687B84"/>
    <w:rsid w:val="4C786019"/>
    <w:rsid w:val="4C79769B"/>
    <w:rsid w:val="4C7B1665"/>
    <w:rsid w:val="4C7B3413"/>
    <w:rsid w:val="4C7F13BD"/>
    <w:rsid w:val="4C8107A0"/>
    <w:rsid w:val="4C894B76"/>
    <w:rsid w:val="4C8F5111"/>
    <w:rsid w:val="4C96649F"/>
    <w:rsid w:val="4C9D15DC"/>
    <w:rsid w:val="4C9D6A67"/>
    <w:rsid w:val="4C9E01BA"/>
    <w:rsid w:val="4C9E5354"/>
    <w:rsid w:val="4CA0731E"/>
    <w:rsid w:val="4CA23096"/>
    <w:rsid w:val="4CA54934"/>
    <w:rsid w:val="4CA87F80"/>
    <w:rsid w:val="4CA95EFF"/>
    <w:rsid w:val="4CAC181F"/>
    <w:rsid w:val="4CC07196"/>
    <w:rsid w:val="4CC4300C"/>
    <w:rsid w:val="4CCC0113"/>
    <w:rsid w:val="4CD46FC7"/>
    <w:rsid w:val="4CD805F1"/>
    <w:rsid w:val="4CE5532B"/>
    <w:rsid w:val="4CEC60BF"/>
    <w:rsid w:val="4CEE62DB"/>
    <w:rsid w:val="4CFB09F8"/>
    <w:rsid w:val="4D021D86"/>
    <w:rsid w:val="4D0258E3"/>
    <w:rsid w:val="4D08475C"/>
    <w:rsid w:val="4D137AF0"/>
    <w:rsid w:val="4D16313C"/>
    <w:rsid w:val="4D186EB4"/>
    <w:rsid w:val="4D1F46E6"/>
    <w:rsid w:val="4D1F6494"/>
    <w:rsid w:val="4D2B4E39"/>
    <w:rsid w:val="4D302450"/>
    <w:rsid w:val="4D304C6C"/>
    <w:rsid w:val="4D4759EB"/>
    <w:rsid w:val="4D537EEC"/>
    <w:rsid w:val="4D5D6FBD"/>
    <w:rsid w:val="4D5F4AE3"/>
    <w:rsid w:val="4D665E71"/>
    <w:rsid w:val="4D6C7200"/>
    <w:rsid w:val="4D7C38E7"/>
    <w:rsid w:val="4D8C1650"/>
    <w:rsid w:val="4D966B30"/>
    <w:rsid w:val="4D9A5B1B"/>
    <w:rsid w:val="4D9C5D37"/>
    <w:rsid w:val="4DA846DC"/>
    <w:rsid w:val="4DAB41CC"/>
    <w:rsid w:val="4DB0533F"/>
    <w:rsid w:val="4DCD7C9F"/>
    <w:rsid w:val="4DD045FA"/>
    <w:rsid w:val="4DDC4386"/>
    <w:rsid w:val="4DEB45C9"/>
    <w:rsid w:val="4DED20EF"/>
    <w:rsid w:val="4DF01D13"/>
    <w:rsid w:val="4DF07E31"/>
    <w:rsid w:val="4DF3347D"/>
    <w:rsid w:val="4DF94E97"/>
    <w:rsid w:val="4E006DA4"/>
    <w:rsid w:val="4E04568A"/>
    <w:rsid w:val="4E08517B"/>
    <w:rsid w:val="4E125FF9"/>
    <w:rsid w:val="4E1276A7"/>
    <w:rsid w:val="4E17716C"/>
    <w:rsid w:val="4E1C0C26"/>
    <w:rsid w:val="4E1F7810"/>
    <w:rsid w:val="4E257ADB"/>
    <w:rsid w:val="4E265601"/>
    <w:rsid w:val="4E37780E"/>
    <w:rsid w:val="4E453CD9"/>
    <w:rsid w:val="4E4B32B9"/>
    <w:rsid w:val="4E5401B4"/>
    <w:rsid w:val="4E5403C0"/>
    <w:rsid w:val="4E573A0C"/>
    <w:rsid w:val="4E656129"/>
    <w:rsid w:val="4E685C19"/>
    <w:rsid w:val="4E6D523C"/>
    <w:rsid w:val="4E7B76FB"/>
    <w:rsid w:val="4E7D7917"/>
    <w:rsid w:val="4E810A89"/>
    <w:rsid w:val="4E86609F"/>
    <w:rsid w:val="4E9133C2"/>
    <w:rsid w:val="4E966494"/>
    <w:rsid w:val="4E9702AC"/>
    <w:rsid w:val="4E9B1B4B"/>
    <w:rsid w:val="4E9C58C3"/>
    <w:rsid w:val="4EA2737D"/>
    <w:rsid w:val="4EAF3A37"/>
    <w:rsid w:val="4EB33338"/>
    <w:rsid w:val="4EB90223"/>
    <w:rsid w:val="4EC15329"/>
    <w:rsid w:val="4ECF5C98"/>
    <w:rsid w:val="4ED908C5"/>
    <w:rsid w:val="4EDC7261"/>
    <w:rsid w:val="4EDE5EDB"/>
    <w:rsid w:val="4EEA2AD2"/>
    <w:rsid w:val="4EEA4880"/>
    <w:rsid w:val="4EF23735"/>
    <w:rsid w:val="4EF474AD"/>
    <w:rsid w:val="4EFD2805"/>
    <w:rsid w:val="4F0214B3"/>
    <w:rsid w:val="4F155DA1"/>
    <w:rsid w:val="4F1A33B7"/>
    <w:rsid w:val="4F1D6A04"/>
    <w:rsid w:val="4F2002A2"/>
    <w:rsid w:val="4F217232"/>
    <w:rsid w:val="4F245FE4"/>
    <w:rsid w:val="4F4641AC"/>
    <w:rsid w:val="4F4A531F"/>
    <w:rsid w:val="4F4F2935"/>
    <w:rsid w:val="4F512996"/>
    <w:rsid w:val="4F587A3C"/>
    <w:rsid w:val="4F710AFD"/>
    <w:rsid w:val="4F870321"/>
    <w:rsid w:val="4F876573"/>
    <w:rsid w:val="4F91170B"/>
    <w:rsid w:val="4F936CC6"/>
    <w:rsid w:val="4FA90297"/>
    <w:rsid w:val="4FAB04B3"/>
    <w:rsid w:val="4FAE1D52"/>
    <w:rsid w:val="4FAE58AE"/>
    <w:rsid w:val="4FB82BD0"/>
    <w:rsid w:val="4FC275AB"/>
    <w:rsid w:val="4FC326FC"/>
    <w:rsid w:val="4FCD042A"/>
    <w:rsid w:val="4FDC066D"/>
    <w:rsid w:val="4FDD6193"/>
    <w:rsid w:val="4FE32C8E"/>
    <w:rsid w:val="4FEA2247"/>
    <w:rsid w:val="4FED287A"/>
    <w:rsid w:val="4FFC27DF"/>
    <w:rsid w:val="50106568"/>
    <w:rsid w:val="5013159F"/>
    <w:rsid w:val="501778F7"/>
    <w:rsid w:val="5019541D"/>
    <w:rsid w:val="501C315F"/>
    <w:rsid w:val="501D58FF"/>
    <w:rsid w:val="501E0C85"/>
    <w:rsid w:val="50210776"/>
    <w:rsid w:val="502142D2"/>
    <w:rsid w:val="502618E8"/>
    <w:rsid w:val="502838B2"/>
    <w:rsid w:val="50377F99"/>
    <w:rsid w:val="50451150"/>
    <w:rsid w:val="50463D38"/>
    <w:rsid w:val="50483F54"/>
    <w:rsid w:val="50577CF3"/>
    <w:rsid w:val="50595B05"/>
    <w:rsid w:val="505A53D8"/>
    <w:rsid w:val="505B3C87"/>
    <w:rsid w:val="505C6325"/>
    <w:rsid w:val="50683395"/>
    <w:rsid w:val="506F7733"/>
    <w:rsid w:val="50707007"/>
    <w:rsid w:val="507D225F"/>
    <w:rsid w:val="507F20BF"/>
    <w:rsid w:val="508825A3"/>
    <w:rsid w:val="50942CF5"/>
    <w:rsid w:val="5099655E"/>
    <w:rsid w:val="509C604E"/>
    <w:rsid w:val="50AB003F"/>
    <w:rsid w:val="50BF7989"/>
    <w:rsid w:val="50C25AB5"/>
    <w:rsid w:val="50C335DB"/>
    <w:rsid w:val="50C76EB0"/>
    <w:rsid w:val="50C8299F"/>
    <w:rsid w:val="50D641F8"/>
    <w:rsid w:val="50D650BC"/>
    <w:rsid w:val="50D94BAC"/>
    <w:rsid w:val="50DE21C3"/>
    <w:rsid w:val="50E21CB3"/>
    <w:rsid w:val="50F43794"/>
    <w:rsid w:val="50F57C05"/>
    <w:rsid w:val="5100038B"/>
    <w:rsid w:val="51014C69"/>
    <w:rsid w:val="51062C1B"/>
    <w:rsid w:val="51063CEB"/>
    <w:rsid w:val="51112598"/>
    <w:rsid w:val="511300BE"/>
    <w:rsid w:val="51145BE4"/>
    <w:rsid w:val="51183927"/>
    <w:rsid w:val="51286EE2"/>
    <w:rsid w:val="513642F2"/>
    <w:rsid w:val="51422D42"/>
    <w:rsid w:val="514A7858"/>
    <w:rsid w:val="514E7348"/>
    <w:rsid w:val="51501312"/>
    <w:rsid w:val="51510BE7"/>
    <w:rsid w:val="51695628"/>
    <w:rsid w:val="518B4751"/>
    <w:rsid w:val="51962A9D"/>
    <w:rsid w:val="51A67184"/>
    <w:rsid w:val="51AB4604"/>
    <w:rsid w:val="51AC406F"/>
    <w:rsid w:val="51AE7DE7"/>
    <w:rsid w:val="51B6770D"/>
    <w:rsid w:val="51BD002A"/>
    <w:rsid w:val="51C63383"/>
    <w:rsid w:val="51D05FAF"/>
    <w:rsid w:val="51D35A9F"/>
    <w:rsid w:val="51E101BC"/>
    <w:rsid w:val="51E67581"/>
    <w:rsid w:val="51EA5FAC"/>
    <w:rsid w:val="51EE4687"/>
    <w:rsid w:val="51F223CA"/>
    <w:rsid w:val="51F64CB1"/>
    <w:rsid w:val="51FE0D6E"/>
    <w:rsid w:val="52081147"/>
    <w:rsid w:val="520C5643"/>
    <w:rsid w:val="520D7203"/>
    <w:rsid w:val="520E0886"/>
    <w:rsid w:val="52127026"/>
    <w:rsid w:val="52127220"/>
    <w:rsid w:val="521E712E"/>
    <w:rsid w:val="52214A5D"/>
    <w:rsid w:val="52285DEB"/>
    <w:rsid w:val="52291B63"/>
    <w:rsid w:val="522E717A"/>
    <w:rsid w:val="52495D62"/>
    <w:rsid w:val="524E3378"/>
    <w:rsid w:val="524E5126"/>
    <w:rsid w:val="52524C16"/>
    <w:rsid w:val="5253098E"/>
    <w:rsid w:val="52595776"/>
    <w:rsid w:val="525B22A8"/>
    <w:rsid w:val="525F7333"/>
    <w:rsid w:val="52657C81"/>
    <w:rsid w:val="527E3C5D"/>
    <w:rsid w:val="528238AF"/>
    <w:rsid w:val="528A2602"/>
    <w:rsid w:val="528B413E"/>
    <w:rsid w:val="52972A2E"/>
    <w:rsid w:val="529945F3"/>
    <w:rsid w:val="52A40B8F"/>
    <w:rsid w:val="52A631B4"/>
    <w:rsid w:val="52A7651D"/>
    <w:rsid w:val="52AF02BB"/>
    <w:rsid w:val="52B61649"/>
    <w:rsid w:val="52C11D9C"/>
    <w:rsid w:val="52D95337"/>
    <w:rsid w:val="52DC6BD6"/>
    <w:rsid w:val="52E55A8A"/>
    <w:rsid w:val="53065A01"/>
    <w:rsid w:val="53081779"/>
    <w:rsid w:val="530F0D59"/>
    <w:rsid w:val="5311062D"/>
    <w:rsid w:val="531225F7"/>
    <w:rsid w:val="53166F8F"/>
    <w:rsid w:val="53177C0E"/>
    <w:rsid w:val="531A6918"/>
    <w:rsid w:val="5325232B"/>
    <w:rsid w:val="532D4A8B"/>
    <w:rsid w:val="53334A48"/>
    <w:rsid w:val="53484908"/>
    <w:rsid w:val="534F60BC"/>
    <w:rsid w:val="535E75EB"/>
    <w:rsid w:val="53654E1D"/>
    <w:rsid w:val="538434F5"/>
    <w:rsid w:val="53894668"/>
    <w:rsid w:val="538A6632"/>
    <w:rsid w:val="538E1C7E"/>
    <w:rsid w:val="538E2936"/>
    <w:rsid w:val="538E6122"/>
    <w:rsid w:val="53915C12"/>
    <w:rsid w:val="53933738"/>
    <w:rsid w:val="53966D85"/>
    <w:rsid w:val="539D45B7"/>
    <w:rsid w:val="53A25729"/>
    <w:rsid w:val="53AC0356"/>
    <w:rsid w:val="53B042EA"/>
    <w:rsid w:val="53B65679"/>
    <w:rsid w:val="53BD388D"/>
    <w:rsid w:val="53C2401E"/>
    <w:rsid w:val="53C26D59"/>
    <w:rsid w:val="53C438F2"/>
    <w:rsid w:val="53C51418"/>
    <w:rsid w:val="53D0673A"/>
    <w:rsid w:val="53D224B3"/>
    <w:rsid w:val="53D37FD9"/>
    <w:rsid w:val="53E25AB2"/>
    <w:rsid w:val="53EA0E7E"/>
    <w:rsid w:val="53EC2E48"/>
    <w:rsid w:val="53F012A0"/>
    <w:rsid w:val="53F8359B"/>
    <w:rsid w:val="53FC1520"/>
    <w:rsid w:val="53FC752F"/>
    <w:rsid w:val="53FF0DCE"/>
    <w:rsid w:val="540957A8"/>
    <w:rsid w:val="54106B37"/>
    <w:rsid w:val="541A5C08"/>
    <w:rsid w:val="54244390"/>
    <w:rsid w:val="54260108"/>
    <w:rsid w:val="542D593B"/>
    <w:rsid w:val="54330A77"/>
    <w:rsid w:val="54363F38"/>
    <w:rsid w:val="543764B9"/>
    <w:rsid w:val="543E18F6"/>
    <w:rsid w:val="54482775"/>
    <w:rsid w:val="54534C76"/>
    <w:rsid w:val="546A2443"/>
    <w:rsid w:val="54705828"/>
    <w:rsid w:val="5474356A"/>
    <w:rsid w:val="54743B97"/>
    <w:rsid w:val="54892D03"/>
    <w:rsid w:val="548F1F48"/>
    <w:rsid w:val="549239F0"/>
    <w:rsid w:val="54A11E85"/>
    <w:rsid w:val="54A61249"/>
    <w:rsid w:val="54A84FC1"/>
    <w:rsid w:val="54A92AE8"/>
    <w:rsid w:val="54AF434B"/>
    <w:rsid w:val="54B14E79"/>
    <w:rsid w:val="54B5148C"/>
    <w:rsid w:val="54C067AF"/>
    <w:rsid w:val="54CF69F2"/>
    <w:rsid w:val="54DB5397"/>
    <w:rsid w:val="54DC2EBD"/>
    <w:rsid w:val="54E51D72"/>
    <w:rsid w:val="54EF2BF0"/>
    <w:rsid w:val="54FB2951"/>
    <w:rsid w:val="54FE4BE1"/>
    <w:rsid w:val="550348EE"/>
    <w:rsid w:val="551D59AF"/>
    <w:rsid w:val="55220A88"/>
    <w:rsid w:val="552D196B"/>
    <w:rsid w:val="55306211"/>
    <w:rsid w:val="55453A67"/>
    <w:rsid w:val="55492614"/>
    <w:rsid w:val="555E1B24"/>
    <w:rsid w:val="555F6A99"/>
    <w:rsid w:val="5560764A"/>
    <w:rsid w:val="5563538C"/>
    <w:rsid w:val="556C2493"/>
    <w:rsid w:val="556E7FB9"/>
    <w:rsid w:val="55774994"/>
    <w:rsid w:val="558477DD"/>
    <w:rsid w:val="558A2919"/>
    <w:rsid w:val="558C6691"/>
    <w:rsid w:val="558F7F2F"/>
    <w:rsid w:val="559519EA"/>
    <w:rsid w:val="55972A4A"/>
    <w:rsid w:val="55990DAE"/>
    <w:rsid w:val="55A27C63"/>
    <w:rsid w:val="55A75279"/>
    <w:rsid w:val="55AD05A3"/>
    <w:rsid w:val="55B02E5B"/>
    <w:rsid w:val="55C4407D"/>
    <w:rsid w:val="55C62F77"/>
    <w:rsid w:val="55CB540B"/>
    <w:rsid w:val="55CD7B80"/>
    <w:rsid w:val="55D342C0"/>
    <w:rsid w:val="55D83684"/>
    <w:rsid w:val="55EA33B8"/>
    <w:rsid w:val="55F04E72"/>
    <w:rsid w:val="55F25012"/>
    <w:rsid w:val="56020701"/>
    <w:rsid w:val="56075D18"/>
    <w:rsid w:val="560B1CAC"/>
    <w:rsid w:val="56186177"/>
    <w:rsid w:val="56206DD9"/>
    <w:rsid w:val="562763BA"/>
    <w:rsid w:val="562E7748"/>
    <w:rsid w:val="5641747C"/>
    <w:rsid w:val="56576C9F"/>
    <w:rsid w:val="56694C24"/>
    <w:rsid w:val="566B274A"/>
    <w:rsid w:val="566E79D2"/>
    <w:rsid w:val="56701B0F"/>
    <w:rsid w:val="56717635"/>
    <w:rsid w:val="56724B3C"/>
    <w:rsid w:val="56743708"/>
    <w:rsid w:val="56876E58"/>
    <w:rsid w:val="568A0E3C"/>
    <w:rsid w:val="56927CD7"/>
    <w:rsid w:val="56965C3A"/>
    <w:rsid w:val="56981066"/>
    <w:rsid w:val="569D042A"/>
    <w:rsid w:val="56A812A9"/>
    <w:rsid w:val="56AB0D99"/>
    <w:rsid w:val="56B3101A"/>
    <w:rsid w:val="56B91708"/>
    <w:rsid w:val="56C52148"/>
    <w:rsid w:val="56C63E25"/>
    <w:rsid w:val="56C87B9D"/>
    <w:rsid w:val="56C90DDF"/>
    <w:rsid w:val="56C9121F"/>
    <w:rsid w:val="56D73355"/>
    <w:rsid w:val="56EA18C1"/>
    <w:rsid w:val="56ED3D52"/>
    <w:rsid w:val="56ED7603"/>
    <w:rsid w:val="56F35D8E"/>
    <w:rsid w:val="56FA587C"/>
    <w:rsid w:val="56FB3ACE"/>
    <w:rsid w:val="570F7B28"/>
    <w:rsid w:val="57131985"/>
    <w:rsid w:val="5717642E"/>
    <w:rsid w:val="57191910"/>
    <w:rsid w:val="571E156B"/>
    <w:rsid w:val="572052E3"/>
    <w:rsid w:val="572C012C"/>
    <w:rsid w:val="57323268"/>
    <w:rsid w:val="5737087F"/>
    <w:rsid w:val="57380335"/>
    <w:rsid w:val="57384107"/>
    <w:rsid w:val="573B036F"/>
    <w:rsid w:val="57482A8C"/>
    <w:rsid w:val="57560D05"/>
    <w:rsid w:val="57594971"/>
    <w:rsid w:val="575B27BF"/>
    <w:rsid w:val="57601B83"/>
    <w:rsid w:val="57671164"/>
    <w:rsid w:val="57686C8A"/>
    <w:rsid w:val="57775D43"/>
    <w:rsid w:val="577B4C0F"/>
    <w:rsid w:val="577D2735"/>
    <w:rsid w:val="57882E88"/>
    <w:rsid w:val="5797131D"/>
    <w:rsid w:val="579D2DD8"/>
    <w:rsid w:val="57A8352A"/>
    <w:rsid w:val="57B343A9"/>
    <w:rsid w:val="57B974E6"/>
    <w:rsid w:val="57BF2D4E"/>
    <w:rsid w:val="57C32112"/>
    <w:rsid w:val="57C830BA"/>
    <w:rsid w:val="57D305A7"/>
    <w:rsid w:val="57E27206"/>
    <w:rsid w:val="57EA3B43"/>
    <w:rsid w:val="57EC1669"/>
    <w:rsid w:val="57EE7344"/>
    <w:rsid w:val="57EF1A7A"/>
    <w:rsid w:val="580E7831"/>
    <w:rsid w:val="58102E9B"/>
    <w:rsid w:val="5814296E"/>
    <w:rsid w:val="581F559B"/>
    <w:rsid w:val="58313520"/>
    <w:rsid w:val="583628E4"/>
    <w:rsid w:val="58366D88"/>
    <w:rsid w:val="583B7EFB"/>
    <w:rsid w:val="58450578"/>
    <w:rsid w:val="58472D43"/>
    <w:rsid w:val="5847689F"/>
    <w:rsid w:val="58607961"/>
    <w:rsid w:val="58647451"/>
    <w:rsid w:val="5866141B"/>
    <w:rsid w:val="58694A68"/>
    <w:rsid w:val="58741868"/>
    <w:rsid w:val="58751D3D"/>
    <w:rsid w:val="587A6C75"/>
    <w:rsid w:val="588673C8"/>
    <w:rsid w:val="58920462"/>
    <w:rsid w:val="589917F1"/>
    <w:rsid w:val="589D2963"/>
    <w:rsid w:val="58A61818"/>
    <w:rsid w:val="58A67A6A"/>
    <w:rsid w:val="58A8610B"/>
    <w:rsid w:val="58AE691E"/>
    <w:rsid w:val="58B2640F"/>
    <w:rsid w:val="58B45F80"/>
    <w:rsid w:val="58B959EF"/>
    <w:rsid w:val="58CD149A"/>
    <w:rsid w:val="58D97E3F"/>
    <w:rsid w:val="58E44CE6"/>
    <w:rsid w:val="58EC6408"/>
    <w:rsid w:val="58ED108A"/>
    <w:rsid w:val="58F76517"/>
    <w:rsid w:val="5906675A"/>
    <w:rsid w:val="591250FF"/>
    <w:rsid w:val="59126EAD"/>
    <w:rsid w:val="59164523"/>
    <w:rsid w:val="59170968"/>
    <w:rsid w:val="59181185"/>
    <w:rsid w:val="591A2206"/>
    <w:rsid w:val="59212D14"/>
    <w:rsid w:val="59213B4F"/>
    <w:rsid w:val="592F3F03"/>
    <w:rsid w:val="59305585"/>
    <w:rsid w:val="59372873"/>
    <w:rsid w:val="59373A09"/>
    <w:rsid w:val="59417793"/>
    <w:rsid w:val="59462FFB"/>
    <w:rsid w:val="594C6863"/>
    <w:rsid w:val="59513E7A"/>
    <w:rsid w:val="59527BF2"/>
    <w:rsid w:val="595C45CC"/>
    <w:rsid w:val="596C2A61"/>
    <w:rsid w:val="596D2336"/>
    <w:rsid w:val="59875AED"/>
    <w:rsid w:val="598B6C60"/>
    <w:rsid w:val="598F6750"/>
    <w:rsid w:val="599124C8"/>
    <w:rsid w:val="59965D30"/>
    <w:rsid w:val="599B569F"/>
    <w:rsid w:val="599E2E37"/>
    <w:rsid w:val="59A044B9"/>
    <w:rsid w:val="59A10231"/>
    <w:rsid w:val="59A73A9A"/>
    <w:rsid w:val="59AA3432"/>
    <w:rsid w:val="59AA5338"/>
    <w:rsid w:val="59AF0BA0"/>
    <w:rsid w:val="59BE7035"/>
    <w:rsid w:val="59C06909"/>
    <w:rsid w:val="59C52172"/>
    <w:rsid w:val="59C75EEA"/>
    <w:rsid w:val="59CC1227"/>
    <w:rsid w:val="59D94E1E"/>
    <w:rsid w:val="59DB7BE7"/>
    <w:rsid w:val="59DE4FE1"/>
    <w:rsid w:val="59E545C2"/>
    <w:rsid w:val="59E7033A"/>
    <w:rsid w:val="59E720E8"/>
    <w:rsid w:val="59E7572A"/>
    <w:rsid w:val="59EA7E2A"/>
    <w:rsid w:val="59ED3476"/>
    <w:rsid w:val="59F67C19"/>
    <w:rsid w:val="59FA62BF"/>
    <w:rsid w:val="5A017B2C"/>
    <w:rsid w:val="5A06399C"/>
    <w:rsid w:val="5A1841E6"/>
    <w:rsid w:val="5A1D5B0A"/>
    <w:rsid w:val="5A2055FA"/>
    <w:rsid w:val="5A2275C4"/>
    <w:rsid w:val="5A292701"/>
    <w:rsid w:val="5A2C0767"/>
    <w:rsid w:val="5A2C3F9F"/>
    <w:rsid w:val="5A461504"/>
    <w:rsid w:val="5A49556B"/>
    <w:rsid w:val="5A4E660B"/>
    <w:rsid w:val="5A504131"/>
    <w:rsid w:val="5A56726E"/>
    <w:rsid w:val="5A582DD4"/>
    <w:rsid w:val="5A5D05FC"/>
    <w:rsid w:val="5A7476F4"/>
    <w:rsid w:val="5A766AF8"/>
    <w:rsid w:val="5A7D47FA"/>
    <w:rsid w:val="5A867B53"/>
    <w:rsid w:val="5A953685"/>
    <w:rsid w:val="5A9B1124"/>
    <w:rsid w:val="5AA04BD7"/>
    <w:rsid w:val="5AA4622B"/>
    <w:rsid w:val="5AA63D51"/>
    <w:rsid w:val="5AAC50E0"/>
    <w:rsid w:val="5AB3021C"/>
    <w:rsid w:val="5AC02939"/>
    <w:rsid w:val="5AC4067B"/>
    <w:rsid w:val="5ACD3E60"/>
    <w:rsid w:val="5AD308BE"/>
    <w:rsid w:val="5AD46667"/>
    <w:rsid w:val="5AD76600"/>
    <w:rsid w:val="5ADF1011"/>
    <w:rsid w:val="5ADF7263"/>
    <w:rsid w:val="5AE40D1D"/>
    <w:rsid w:val="5AE900E2"/>
    <w:rsid w:val="5AEB20AC"/>
    <w:rsid w:val="5AF635F2"/>
    <w:rsid w:val="5AFA7489"/>
    <w:rsid w:val="5AFF16B3"/>
    <w:rsid w:val="5B0373F5"/>
    <w:rsid w:val="5B1F1D55"/>
    <w:rsid w:val="5B3752F1"/>
    <w:rsid w:val="5B3D3F8A"/>
    <w:rsid w:val="5B5C4D58"/>
    <w:rsid w:val="5B6070C0"/>
    <w:rsid w:val="5B6559BA"/>
    <w:rsid w:val="5B695702"/>
    <w:rsid w:val="5B7200D7"/>
    <w:rsid w:val="5B7976B8"/>
    <w:rsid w:val="5B7C4AB2"/>
    <w:rsid w:val="5B800A46"/>
    <w:rsid w:val="5B8816A9"/>
    <w:rsid w:val="5B8878FB"/>
    <w:rsid w:val="5B8C73EB"/>
    <w:rsid w:val="5B975D90"/>
    <w:rsid w:val="5B995664"/>
    <w:rsid w:val="5B9B5880"/>
    <w:rsid w:val="5B9E120E"/>
    <w:rsid w:val="5B9E2C7A"/>
    <w:rsid w:val="5BA83AF9"/>
    <w:rsid w:val="5BBE156E"/>
    <w:rsid w:val="5BC70423"/>
    <w:rsid w:val="5BC76675"/>
    <w:rsid w:val="5BCA3A6F"/>
    <w:rsid w:val="5BCF72D8"/>
    <w:rsid w:val="5BD60666"/>
    <w:rsid w:val="5BE765B0"/>
    <w:rsid w:val="5BF154A0"/>
    <w:rsid w:val="5BF907F8"/>
    <w:rsid w:val="5BFE5E0F"/>
    <w:rsid w:val="5C074CC3"/>
    <w:rsid w:val="5C11169E"/>
    <w:rsid w:val="5C207B33"/>
    <w:rsid w:val="5C2310E9"/>
    <w:rsid w:val="5C27215B"/>
    <w:rsid w:val="5C2A6C04"/>
    <w:rsid w:val="5C345A31"/>
    <w:rsid w:val="5C3B2BBF"/>
    <w:rsid w:val="5C427AAA"/>
    <w:rsid w:val="5C4C26D6"/>
    <w:rsid w:val="5C563555"/>
    <w:rsid w:val="5C5D0D87"/>
    <w:rsid w:val="5C5D6E1A"/>
    <w:rsid w:val="5C642116"/>
    <w:rsid w:val="5C653798"/>
    <w:rsid w:val="5C675762"/>
    <w:rsid w:val="5C695E9B"/>
    <w:rsid w:val="5C71213D"/>
    <w:rsid w:val="5C8207EE"/>
    <w:rsid w:val="5C844566"/>
    <w:rsid w:val="5C8A31FF"/>
    <w:rsid w:val="5C967DF5"/>
    <w:rsid w:val="5C9A1694"/>
    <w:rsid w:val="5C9F483D"/>
    <w:rsid w:val="5CAC13C7"/>
    <w:rsid w:val="5CAC5345"/>
    <w:rsid w:val="5CB62246"/>
    <w:rsid w:val="5CD01559"/>
    <w:rsid w:val="5CE43888"/>
    <w:rsid w:val="5CEA4441"/>
    <w:rsid w:val="5CEE378D"/>
    <w:rsid w:val="5CF05758"/>
    <w:rsid w:val="5D011713"/>
    <w:rsid w:val="5D0B07E3"/>
    <w:rsid w:val="5D0E3E30"/>
    <w:rsid w:val="5D0E5BDE"/>
    <w:rsid w:val="5D101956"/>
    <w:rsid w:val="5D1217CA"/>
    <w:rsid w:val="5D1A6C78"/>
    <w:rsid w:val="5D1C654D"/>
    <w:rsid w:val="5D1F7DEB"/>
    <w:rsid w:val="5D214FD8"/>
    <w:rsid w:val="5D445AA3"/>
    <w:rsid w:val="5D467A6D"/>
    <w:rsid w:val="5D4D2BAA"/>
    <w:rsid w:val="5D4D6706"/>
    <w:rsid w:val="5D4E247E"/>
    <w:rsid w:val="5D5932FD"/>
    <w:rsid w:val="5D600B2F"/>
    <w:rsid w:val="5D63417B"/>
    <w:rsid w:val="5D731EE5"/>
    <w:rsid w:val="5D7C6FEB"/>
    <w:rsid w:val="5D83037A"/>
    <w:rsid w:val="5D8F4F70"/>
    <w:rsid w:val="5D977EAC"/>
    <w:rsid w:val="5D997B9D"/>
    <w:rsid w:val="5D9D72A2"/>
    <w:rsid w:val="5D9E1657"/>
    <w:rsid w:val="5DA04A2B"/>
    <w:rsid w:val="5DB20C5F"/>
    <w:rsid w:val="5DBF512A"/>
    <w:rsid w:val="5DC7295C"/>
    <w:rsid w:val="5DCF35BF"/>
    <w:rsid w:val="5DE03A1E"/>
    <w:rsid w:val="5DE54B90"/>
    <w:rsid w:val="5DE8778C"/>
    <w:rsid w:val="5E0133B7"/>
    <w:rsid w:val="5E033269"/>
    <w:rsid w:val="5E053485"/>
    <w:rsid w:val="5E056FE1"/>
    <w:rsid w:val="5E0771FD"/>
    <w:rsid w:val="5E0C4813"/>
    <w:rsid w:val="5E196F30"/>
    <w:rsid w:val="5E1F213C"/>
    <w:rsid w:val="5E2002BE"/>
    <w:rsid w:val="5E225DE5"/>
    <w:rsid w:val="5E2C27BF"/>
    <w:rsid w:val="5E2D6537"/>
    <w:rsid w:val="5E2F22B0"/>
    <w:rsid w:val="5E317DD6"/>
    <w:rsid w:val="5E331DA0"/>
    <w:rsid w:val="5E346C10"/>
    <w:rsid w:val="5E3478C6"/>
    <w:rsid w:val="5E3652A9"/>
    <w:rsid w:val="5E407C0D"/>
    <w:rsid w:val="5E490971"/>
    <w:rsid w:val="5E4A70E9"/>
    <w:rsid w:val="5E525F9E"/>
    <w:rsid w:val="5E5D506F"/>
    <w:rsid w:val="5E6D4B86"/>
    <w:rsid w:val="5E6E102A"/>
    <w:rsid w:val="5E6F08FE"/>
    <w:rsid w:val="5E745F14"/>
    <w:rsid w:val="5E7A79CF"/>
    <w:rsid w:val="5E826883"/>
    <w:rsid w:val="5E897C12"/>
    <w:rsid w:val="5E8C14B0"/>
    <w:rsid w:val="5E8E6FD6"/>
    <w:rsid w:val="5E8F2D4E"/>
    <w:rsid w:val="5E9B5B97"/>
    <w:rsid w:val="5EA44A4C"/>
    <w:rsid w:val="5EA902B4"/>
    <w:rsid w:val="5EAE1426"/>
    <w:rsid w:val="5EB46155"/>
    <w:rsid w:val="5EBF1726"/>
    <w:rsid w:val="5EBF27BB"/>
    <w:rsid w:val="5ED6097D"/>
    <w:rsid w:val="5ED7628F"/>
    <w:rsid w:val="5EE236F4"/>
    <w:rsid w:val="5EFF6126"/>
    <w:rsid w:val="5F0059FA"/>
    <w:rsid w:val="5F092B01"/>
    <w:rsid w:val="5F190554"/>
    <w:rsid w:val="5F1A6ABC"/>
    <w:rsid w:val="5F225970"/>
    <w:rsid w:val="5F2636B2"/>
    <w:rsid w:val="5F2D640F"/>
    <w:rsid w:val="5F3A53B0"/>
    <w:rsid w:val="5F3F4774"/>
    <w:rsid w:val="5F427DC1"/>
    <w:rsid w:val="5F4F0E5B"/>
    <w:rsid w:val="5F546472"/>
    <w:rsid w:val="5F555D46"/>
    <w:rsid w:val="5F5B78AA"/>
    <w:rsid w:val="5F645F89"/>
    <w:rsid w:val="5F6D7533"/>
    <w:rsid w:val="5F797C86"/>
    <w:rsid w:val="5F7A39FE"/>
    <w:rsid w:val="5F851BE7"/>
    <w:rsid w:val="5F926F9A"/>
    <w:rsid w:val="5F97635E"/>
    <w:rsid w:val="5FA3544C"/>
    <w:rsid w:val="5FA82319"/>
    <w:rsid w:val="5FB52C88"/>
    <w:rsid w:val="5FB567E4"/>
    <w:rsid w:val="5FBC2E85"/>
    <w:rsid w:val="5FBC4017"/>
    <w:rsid w:val="5FC73D9D"/>
    <w:rsid w:val="5FCF5AF8"/>
    <w:rsid w:val="5FD255E8"/>
    <w:rsid w:val="5FE07D05"/>
    <w:rsid w:val="5FED2422"/>
    <w:rsid w:val="5FF17B2D"/>
    <w:rsid w:val="60057CBB"/>
    <w:rsid w:val="60073FFE"/>
    <w:rsid w:val="60196D73"/>
    <w:rsid w:val="601C6864"/>
    <w:rsid w:val="601D4306"/>
    <w:rsid w:val="602A2D2E"/>
    <w:rsid w:val="602F6597"/>
    <w:rsid w:val="603242D9"/>
    <w:rsid w:val="60365B77"/>
    <w:rsid w:val="603943E8"/>
    <w:rsid w:val="604005D6"/>
    <w:rsid w:val="604007A4"/>
    <w:rsid w:val="60483AFC"/>
    <w:rsid w:val="604858AA"/>
    <w:rsid w:val="604E1113"/>
    <w:rsid w:val="604F6C39"/>
    <w:rsid w:val="605B3830"/>
    <w:rsid w:val="606049A2"/>
    <w:rsid w:val="6062071A"/>
    <w:rsid w:val="60673889"/>
    <w:rsid w:val="60695F4D"/>
    <w:rsid w:val="606D5311"/>
    <w:rsid w:val="6071095D"/>
    <w:rsid w:val="60732927"/>
    <w:rsid w:val="60747F1B"/>
    <w:rsid w:val="60883EF9"/>
    <w:rsid w:val="60911000"/>
    <w:rsid w:val="60917251"/>
    <w:rsid w:val="60936B26"/>
    <w:rsid w:val="6098413C"/>
    <w:rsid w:val="60A056E7"/>
    <w:rsid w:val="60A725D1"/>
    <w:rsid w:val="60AC5E39"/>
    <w:rsid w:val="60B265F7"/>
    <w:rsid w:val="60B579E0"/>
    <w:rsid w:val="60BA0C74"/>
    <w:rsid w:val="60C45117"/>
    <w:rsid w:val="60CA4511"/>
    <w:rsid w:val="60CD28D7"/>
    <w:rsid w:val="60D61108"/>
    <w:rsid w:val="60DB671F"/>
    <w:rsid w:val="60E07891"/>
    <w:rsid w:val="60E250F5"/>
    <w:rsid w:val="60E92BEA"/>
    <w:rsid w:val="60EC26DA"/>
    <w:rsid w:val="60F33A68"/>
    <w:rsid w:val="60F375C4"/>
    <w:rsid w:val="60F577E0"/>
    <w:rsid w:val="60FF41BB"/>
    <w:rsid w:val="610A2B60"/>
    <w:rsid w:val="61112140"/>
    <w:rsid w:val="611A0FF5"/>
    <w:rsid w:val="611B6B1B"/>
    <w:rsid w:val="611F03B9"/>
    <w:rsid w:val="613100ED"/>
    <w:rsid w:val="613A1F85"/>
    <w:rsid w:val="613D4CE3"/>
    <w:rsid w:val="61416E26"/>
    <w:rsid w:val="61483DB4"/>
    <w:rsid w:val="614B38A4"/>
    <w:rsid w:val="615362B5"/>
    <w:rsid w:val="61565DA5"/>
    <w:rsid w:val="615F3AC8"/>
    <w:rsid w:val="61734BA9"/>
    <w:rsid w:val="617F354E"/>
    <w:rsid w:val="617F3ADA"/>
    <w:rsid w:val="6189617B"/>
    <w:rsid w:val="618C66DF"/>
    <w:rsid w:val="618F19E3"/>
    <w:rsid w:val="619C4100"/>
    <w:rsid w:val="619D1BB3"/>
    <w:rsid w:val="61A44D62"/>
    <w:rsid w:val="61A62889"/>
    <w:rsid w:val="61A929CF"/>
    <w:rsid w:val="61AD1AF2"/>
    <w:rsid w:val="61B74A96"/>
    <w:rsid w:val="61BA27D8"/>
    <w:rsid w:val="61CD42B9"/>
    <w:rsid w:val="61DB0A21"/>
    <w:rsid w:val="61DB4C28"/>
    <w:rsid w:val="61DC4A5B"/>
    <w:rsid w:val="61EE5FDE"/>
    <w:rsid w:val="61F23D20"/>
    <w:rsid w:val="61F93300"/>
    <w:rsid w:val="61FC06FB"/>
    <w:rsid w:val="62055C39"/>
    <w:rsid w:val="620677CB"/>
    <w:rsid w:val="62094F9D"/>
    <w:rsid w:val="621E0449"/>
    <w:rsid w:val="62265778"/>
    <w:rsid w:val="62312A9A"/>
    <w:rsid w:val="623B7475"/>
    <w:rsid w:val="62456545"/>
    <w:rsid w:val="624A76B8"/>
    <w:rsid w:val="624F2F20"/>
    <w:rsid w:val="62514EEA"/>
    <w:rsid w:val="625978FB"/>
    <w:rsid w:val="6260512D"/>
    <w:rsid w:val="62612D76"/>
    <w:rsid w:val="62650996"/>
    <w:rsid w:val="626866FE"/>
    <w:rsid w:val="62727F12"/>
    <w:rsid w:val="62750C70"/>
    <w:rsid w:val="627604AD"/>
    <w:rsid w:val="627F48FB"/>
    <w:rsid w:val="628362A7"/>
    <w:rsid w:val="628726BA"/>
    <w:rsid w:val="629848C7"/>
    <w:rsid w:val="629E7A04"/>
    <w:rsid w:val="62A52B40"/>
    <w:rsid w:val="62B47227"/>
    <w:rsid w:val="62B64D4D"/>
    <w:rsid w:val="62BD432E"/>
    <w:rsid w:val="62C21944"/>
    <w:rsid w:val="62CC7B9D"/>
    <w:rsid w:val="62D13935"/>
    <w:rsid w:val="62D60F4C"/>
    <w:rsid w:val="62DD2C49"/>
    <w:rsid w:val="62E06EE1"/>
    <w:rsid w:val="62EC7696"/>
    <w:rsid w:val="62F615EE"/>
    <w:rsid w:val="62F834F6"/>
    <w:rsid w:val="62FA7330"/>
    <w:rsid w:val="63021D41"/>
    <w:rsid w:val="63030411"/>
    <w:rsid w:val="63051831"/>
    <w:rsid w:val="630C7063"/>
    <w:rsid w:val="630D44B7"/>
    <w:rsid w:val="63161C90"/>
    <w:rsid w:val="63181564"/>
    <w:rsid w:val="632C3261"/>
    <w:rsid w:val="632D72AE"/>
    <w:rsid w:val="63332842"/>
    <w:rsid w:val="63336109"/>
    <w:rsid w:val="6333639E"/>
    <w:rsid w:val="63352116"/>
    <w:rsid w:val="63367C3C"/>
    <w:rsid w:val="633D1D8C"/>
    <w:rsid w:val="633F2F95"/>
    <w:rsid w:val="635051A2"/>
    <w:rsid w:val="63514A76"/>
    <w:rsid w:val="63584057"/>
    <w:rsid w:val="635B1091"/>
    <w:rsid w:val="637075F2"/>
    <w:rsid w:val="63766126"/>
    <w:rsid w:val="63785DBF"/>
    <w:rsid w:val="637F15E3"/>
    <w:rsid w:val="63857EEF"/>
    <w:rsid w:val="63891426"/>
    <w:rsid w:val="638D1F52"/>
    <w:rsid w:val="638E1826"/>
    <w:rsid w:val="63936E3D"/>
    <w:rsid w:val="63950E07"/>
    <w:rsid w:val="639B1A12"/>
    <w:rsid w:val="639F57E1"/>
    <w:rsid w:val="63A3668B"/>
    <w:rsid w:val="63B0159A"/>
    <w:rsid w:val="63B254CE"/>
    <w:rsid w:val="63B374DF"/>
    <w:rsid w:val="63C74D38"/>
    <w:rsid w:val="63D80CF3"/>
    <w:rsid w:val="63DC4C88"/>
    <w:rsid w:val="63F773CC"/>
    <w:rsid w:val="63FA6EBC"/>
    <w:rsid w:val="63FD075A"/>
    <w:rsid w:val="63FF44D2"/>
    <w:rsid w:val="640146EE"/>
    <w:rsid w:val="64085A7D"/>
    <w:rsid w:val="640F0BB9"/>
    <w:rsid w:val="641206A9"/>
    <w:rsid w:val="642108EC"/>
    <w:rsid w:val="642B52C7"/>
    <w:rsid w:val="642D103F"/>
    <w:rsid w:val="643248A8"/>
    <w:rsid w:val="64346872"/>
    <w:rsid w:val="643C74D4"/>
    <w:rsid w:val="64410F8F"/>
    <w:rsid w:val="64432611"/>
    <w:rsid w:val="645C1924"/>
    <w:rsid w:val="64656A2B"/>
    <w:rsid w:val="646D1D84"/>
    <w:rsid w:val="646F1658"/>
    <w:rsid w:val="647749B0"/>
    <w:rsid w:val="6477675E"/>
    <w:rsid w:val="64833355"/>
    <w:rsid w:val="64850E7B"/>
    <w:rsid w:val="648D5F82"/>
    <w:rsid w:val="64A5151D"/>
    <w:rsid w:val="64A532CB"/>
    <w:rsid w:val="64A86918"/>
    <w:rsid w:val="64AC6408"/>
    <w:rsid w:val="64C51278"/>
    <w:rsid w:val="64DE616D"/>
    <w:rsid w:val="64E2007C"/>
    <w:rsid w:val="64ED484B"/>
    <w:rsid w:val="64F32289"/>
    <w:rsid w:val="64FD6C64"/>
    <w:rsid w:val="65077AE2"/>
    <w:rsid w:val="6509385A"/>
    <w:rsid w:val="650A1380"/>
    <w:rsid w:val="65293EFC"/>
    <w:rsid w:val="652C579B"/>
    <w:rsid w:val="652E6B00"/>
    <w:rsid w:val="653244B9"/>
    <w:rsid w:val="65402FF4"/>
    <w:rsid w:val="65416891"/>
    <w:rsid w:val="65474383"/>
    <w:rsid w:val="65493C57"/>
    <w:rsid w:val="654C1999"/>
    <w:rsid w:val="654F3237"/>
    <w:rsid w:val="656F7435"/>
    <w:rsid w:val="65736F26"/>
    <w:rsid w:val="6578453C"/>
    <w:rsid w:val="657F1D6E"/>
    <w:rsid w:val="657F4273"/>
    <w:rsid w:val="65842EE1"/>
    <w:rsid w:val="65856C59"/>
    <w:rsid w:val="658612D7"/>
    <w:rsid w:val="658630FD"/>
    <w:rsid w:val="65905D2A"/>
    <w:rsid w:val="65992EA3"/>
    <w:rsid w:val="65A25A5D"/>
    <w:rsid w:val="65A43583"/>
    <w:rsid w:val="65B0017A"/>
    <w:rsid w:val="65B71508"/>
    <w:rsid w:val="65BA2DA7"/>
    <w:rsid w:val="65BA6903"/>
    <w:rsid w:val="65C634F9"/>
    <w:rsid w:val="65CB6D62"/>
    <w:rsid w:val="65CC6636"/>
    <w:rsid w:val="65CD2ADA"/>
    <w:rsid w:val="65CE0600"/>
    <w:rsid w:val="65DC0F6F"/>
    <w:rsid w:val="65E47E23"/>
    <w:rsid w:val="65E63B9C"/>
    <w:rsid w:val="65F362B8"/>
    <w:rsid w:val="660B7F25"/>
    <w:rsid w:val="6612061A"/>
    <w:rsid w:val="66187AED"/>
    <w:rsid w:val="662326FA"/>
    <w:rsid w:val="66285F62"/>
    <w:rsid w:val="66287D10"/>
    <w:rsid w:val="662F72F1"/>
    <w:rsid w:val="663812EA"/>
    <w:rsid w:val="66524D8D"/>
    <w:rsid w:val="665723A3"/>
    <w:rsid w:val="665E3732"/>
    <w:rsid w:val="66602124"/>
    <w:rsid w:val="666446A3"/>
    <w:rsid w:val="666B40A1"/>
    <w:rsid w:val="666F593F"/>
    <w:rsid w:val="667C03A6"/>
    <w:rsid w:val="668F4233"/>
    <w:rsid w:val="669870E7"/>
    <w:rsid w:val="66A870A3"/>
    <w:rsid w:val="66B64FD6"/>
    <w:rsid w:val="66BC48FC"/>
    <w:rsid w:val="66BE0674"/>
    <w:rsid w:val="66C67529"/>
    <w:rsid w:val="66C83704"/>
    <w:rsid w:val="66D86595"/>
    <w:rsid w:val="66DB2FD4"/>
    <w:rsid w:val="66DF198B"/>
    <w:rsid w:val="66E14363"/>
    <w:rsid w:val="66E15DEB"/>
    <w:rsid w:val="66E300DB"/>
    <w:rsid w:val="66E520A5"/>
    <w:rsid w:val="66EC51E2"/>
    <w:rsid w:val="66F02910"/>
    <w:rsid w:val="66F26570"/>
    <w:rsid w:val="66F916AD"/>
    <w:rsid w:val="671604B0"/>
    <w:rsid w:val="67177D85"/>
    <w:rsid w:val="67185FD7"/>
    <w:rsid w:val="671D4B10"/>
    <w:rsid w:val="671D539B"/>
    <w:rsid w:val="67204E8B"/>
    <w:rsid w:val="672524A2"/>
    <w:rsid w:val="67256D8D"/>
    <w:rsid w:val="67283D40"/>
    <w:rsid w:val="672B5B83"/>
    <w:rsid w:val="672C1A82"/>
    <w:rsid w:val="67317098"/>
    <w:rsid w:val="673D3C8F"/>
    <w:rsid w:val="673E5311"/>
    <w:rsid w:val="67424E02"/>
    <w:rsid w:val="674579CB"/>
    <w:rsid w:val="67566AFF"/>
    <w:rsid w:val="676034DA"/>
    <w:rsid w:val="676B62D3"/>
    <w:rsid w:val="676D0F4C"/>
    <w:rsid w:val="676F196F"/>
    <w:rsid w:val="67774B40"/>
    <w:rsid w:val="677B0314"/>
    <w:rsid w:val="67980EC5"/>
    <w:rsid w:val="679B09B6"/>
    <w:rsid w:val="679C6C08"/>
    <w:rsid w:val="67A17987"/>
    <w:rsid w:val="67A26B47"/>
    <w:rsid w:val="67A71109"/>
    <w:rsid w:val="67AE693B"/>
    <w:rsid w:val="67B24FE9"/>
    <w:rsid w:val="67B57CC9"/>
    <w:rsid w:val="67B83316"/>
    <w:rsid w:val="67BD092C"/>
    <w:rsid w:val="67CF572D"/>
    <w:rsid w:val="67D068B1"/>
    <w:rsid w:val="67D16185"/>
    <w:rsid w:val="67D53EC8"/>
    <w:rsid w:val="67DA7730"/>
    <w:rsid w:val="67E114F7"/>
    <w:rsid w:val="67E1461B"/>
    <w:rsid w:val="67E4410B"/>
    <w:rsid w:val="67E45EB9"/>
    <w:rsid w:val="67F1512B"/>
    <w:rsid w:val="67F3434E"/>
    <w:rsid w:val="68016A6B"/>
    <w:rsid w:val="68060525"/>
    <w:rsid w:val="68150474"/>
    <w:rsid w:val="68324E76"/>
    <w:rsid w:val="68352BB8"/>
    <w:rsid w:val="68353276"/>
    <w:rsid w:val="683536B6"/>
    <w:rsid w:val="684125B7"/>
    <w:rsid w:val="684D1945"/>
    <w:rsid w:val="685748DD"/>
    <w:rsid w:val="687234C5"/>
    <w:rsid w:val="687A0973"/>
    <w:rsid w:val="687F5BE1"/>
    <w:rsid w:val="68914293"/>
    <w:rsid w:val="689E075E"/>
    <w:rsid w:val="68A044D6"/>
    <w:rsid w:val="68A1024E"/>
    <w:rsid w:val="68A74AFF"/>
    <w:rsid w:val="68AB69D7"/>
    <w:rsid w:val="68BE495C"/>
    <w:rsid w:val="68BE670A"/>
    <w:rsid w:val="68C13F97"/>
    <w:rsid w:val="68CA77A4"/>
    <w:rsid w:val="68D128E1"/>
    <w:rsid w:val="68D91796"/>
    <w:rsid w:val="68DB550E"/>
    <w:rsid w:val="68DF0AF3"/>
    <w:rsid w:val="68E0672E"/>
    <w:rsid w:val="68E92303"/>
    <w:rsid w:val="68EA0337"/>
    <w:rsid w:val="68ED6FEF"/>
    <w:rsid w:val="68F465CF"/>
    <w:rsid w:val="69033C6D"/>
    <w:rsid w:val="69076303"/>
    <w:rsid w:val="691B3B5C"/>
    <w:rsid w:val="69251B3C"/>
    <w:rsid w:val="69252C2D"/>
    <w:rsid w:val="692549DB"/>
    <w:rsid w:val="692844CB"/>
    <w:rsid w:val="692A0243"/>
    <w:rsid w:val="692A1FF1"/>
    <w:rsid w:val="692F585A"/>
    <w:rsid w:val="693370F8"/>
    <w:rsid w:val="69342E70"/>
    <w:rsid w:val="69360540"/>
    <w:rsid w:val="693E784B"/>
    <w:rsid w:val="6942558D"/>
    <w:rsid w:val="69434E61"/>
    <w:rsid w:val="694806C9"/>
    <w:rsid w:val="694A2693"/>
    <w:rsid w:val="694C01BA"/>
    <w:rsid w:val="695333EF"/>
    <w:rsid w:val="695B21AB"/>
    <w:rsid w:val="696C260A"/>
    <w:rsid w:val="69760037"/>
    <w:rsid w:val="6993489C"/>
    <w:rsid w:val="69961435"/>
    <w:rsid w:val="69990F25"/>
    <w:rsid w:val="69A04061"/>
    <w:rsid w:val="69A10C8D"/>
    <w:rsid w:val="69A41DA4"/>
    <w:rsid w:val="69A43B52"/>
    <w:rsid w:val="69B641AD"/>
    <w:rsid w:val="69B67D29"/>
    <w:rsid w:val="69B87C08"/>
    <w:rsid w:val="69B95123"/>
    <w:rsid w:val="69BD2E65"/>
    <w:rsid w:val="69C2626D"/>
    <w:rsid w:val="69C9180A"/>
    <w:rsid w:val="69CB4B89"/>
    <w:rsid w:val="69D5410D"/>
    <w:rsid w:val="69D65CD5"/>
    <w:rsid w:val="69D733AD"/>
    <w:rsid w:val="69DB153D"/>
    <w:rsid w:val="69F12B0F"/>
    <w:rsid w:val="69F148BD"/>
    <w:rsid w:val="69FB573C"/>
    <w:rsid w:val="6A050B64"/>
    <w:rsid w:val="6A0669B0"/>
    <w:rsid w:val="6A0762C7"/>
    <w:rsid w:val="6A0D5B9B"/>
    <w:rsid w:val="6A1324D3"/>
    <w:rsid w:val="6A246A40"/>
    <w:rsid w:val="6A250150"/>
    <w:rsid w:val="6A255D80"/>
    <w:rsid w:val="6A28624C"/>
    <w:rsid w:val="6A2C1D99"/>
    <w:rsid w:val="6A2E192C"/>
    <w:rsid w:val="6A3273AF"/>
    <w:rsid w:val="6A440E91"/>
    <w:rsid w:val="6A4610AD"/>
    <w:rsid w:val="6A470981"/>
    <w:rsid w:val="6A4B0471"/>
    <w:rsid w:val="6A4B221F"/>
    <w:rsid w:val="6A6600BF"/>
    <w:rsid w:val="6A6D6639"/>
    <w:rsid w:val="6A721EA2"/>
    <w:rsid w:val="6A7A48B2"/>
    <w:rsid w:val="6A7A6FA8"/>
    <w:rsid w:val="6A8D4045"/>
    <w:rsid w:val="6A9242F2"/>
    <w:rsid w:val="6A971908"/>
    <w:rsid w:val="6AA06A0F"/>
    <w:rsid w:val="6AB37DC4"/>
    <w:rsid w:val="6AB57FE0"/>
    <w:rsid w:val="6AC67AF8"/>
    <w:rsid w:val="6AC951B0"/>
    <w:rsid w:val="6ACF2E50"/>
    <w:rsid w:val="6AD14E1A"/>
    <w:rsid w:val="6AD2649C"/>
    <w:rsid w:val="6ADB5DB0"/>
    <w:rsid w:val="6AEB2A8F"/>
    <w:rsid w:val="6AEB3A02"/>
    <w:rsid w:val="6AEC1C54"/>
    <w:rsid w:val="6AF07B7F"/>
    <w:rsid w:val="6AF9611F"/>
    <w:rsid w:val="6B036F9E"/>
    <w:rsid w:val="6B07083C"/>
    <w:rsid w:val="6B17020D"/>
    <w:rsid w:val="6B1765A5"/>
    <w:rsid w:val="6B1B53F9"/>
    <w:rsid w:val="6B1B6095"/>
    <w:rsid w:val="6B20545A"/>
    <w:rsid w:val="6B213549"/>
    <w:rsid w:val="6B250CC2"/>
    <w:rsid w:val="6B28418D"/>
    <w:rsid w:val="6B2A277C"/>
    <w:rsid w:val="6B2A36FF"/>
    <w:rsid w:val="6B317667"/>
    <w:rsid w:val="6B3873E2"/>
    <w:rsid w:val="6B482C03"/>
    <w:rsid w:val="6B6317EA"/>
    <w:rsid w:val="6B655563"/>
    <w:rsid w:val="6B680BAF"/>
    <w:rsid w:val="6B686E01"/>
    <w:rsid w:val="6B6C68F1"/>
    <w:rsid w:val="6B8554B2"/>
    <w:rsid w:val="6B8C0D41"/>
    <w:rsid w:val="6BA350A4"/>
    <w:rsid w:val="6BA93394"/>
    <w:rsid w:val="6BAA11C7"/>
    <w:rsid w:val="6BAC3191"/>
    <w:rsid w:val="6BAF2C82"/>
    <w:rsid w:val="6BB42046"/>
    <w:rsid w:val="6BBA58AE"/>
    <w:rsid w:val="6BBA6837"/>
    <w:rsid w:val="6BCA186A"/>
    <w:rsid w:val="6BCA69F3"/>
    <w:rsid w:val="6BCD3880"/>
    <w:rsid w:val="6BD36970"/>
    <w:rsid w:val="6BE26BB3"/>
    <w:rsid w:val="6BEA3CBA"/>
    <w:rsid w:val="6BFB1A23"/>
    <w:rsid w:val="6C0C1E82"/>
    <w:rsid w:val="6C0E79A8"/>
    <w:rsid w:val="6C111246"/>
    <w:rsid w:val="6C117498"/>
    <w:rsid w:val="6C180827"/>
    <w:rsid w:val="6C1A459F"/>
    <w:rsid w:val="6C21592D"/>
    <w:rsid w:val="6C256AA0"/>
    <w:rsid w:val="6C2947E2"/>
    <w:rsid w:val="6C2B2308"/>
    <w:rsid w:val="6C335661"/>
    <w:rsid w:val="6C397D24"/>
    <w:rsid w:val="6C4B6506"/>
    <w:rsid w:val="6C5817FD"/>
    <w:rsid w:val="6C5C0714"/>
    <w:rsid w:val="6C6263EF"/>
    <w:rsid w:val="6C7022A4"/>
    <w:rsid w:val="6C733CAF"/>
    <w:rsid w:val="6C7F08A6"/>
    <w:rsid w:val="6C81017A"/>
    <w:rsid w:val="6C8D4D71"/>
    <w:rsid w:val="6C904861"/>
    <w:rsid w:val="6C9500C9"/>
    <w:rsid w:val="6C97799E"/>
    <w:rsid w:val="6C9E6F7E"/>
    <w:rsid w:val="6C9F4AA4"/>
    <w:rsid w:val="6C9F5BFC"/>
    <w:rsid w:val="6CAB3449"/>
    <w:rsid w:val="6CB322FE"/>
    <w:rsid w:val="6CB542C8"/>
    <w:rsid w:val="6CBA7B30"/>
    <w:rsid w:val="6CBC7404"/>
    <w:rsid w:val="6CCA7D73"/>
    <w:rsid w:val="6CCF5F99"/>
    <w:rsid w:val="6CD01102"/>
    <w:rsid w:val="6CD13207"/>
    <w:rsid w:val="6CD209D6"/>
    <w:rsid w:val="6CD40BF2"/>
    <w:rsid w:val="6CD429A0"/>
    <w:rsid w:val="6CDB1F80"/>
    <w:rsid w:val="6CDE55CC"/>
    <w:rsid w:val="6CE10C19"/>
    <w:rsid w:val="6CEF556F"/>
    <w:rsid w:val="6CF61303"/>
    <w:rsid w:val="6CF7668E"/>
    <w:rsid w:val="6CFC7FBF"/>
    <w:rsid w:val="6D0F4B4D"/>
    <w:rsid w:val="6D162FB8"/>
    <w:rsid w:val="6D21370B"/>
    <w:rsid w:val="6D262AD0"/>
    <w:rsid w:val="6D3E250F"/>
    <w:rsid w:val="6D48513C"/>
    <w:rsid w:val="6D4D62AE"/>
    <w:rsid w:val="6D597A48"/>
    <w:rsid w:val="6D5E04BB"/>
    <w:rsid w:val="6D642862"/>
    <w:rsid w:val="6D65184A"/>
    <w:rsid w:val="6D6655C2"/>
    <w:rsid w:val="6D7101EF"/>
    <w:rsid w:val="6D7C4ED1"/>
    <w:rsid w:val="6D8141AA"/>
    <w:rsid w:val="6D8819DC"/>
    <w:rsid w:val="6DA4006D"/>
    <w:rsid w:val="6DA8381C"/>
    <w:rsid w:val="6DAC56CB"/>
    <w:rsid w:val="6DB10E69"/>
    <w:rsid w:val="6DB15759"/>
    <w:rsid w:val="6DB1683D"/>
    <w:rsid w:val="6DBD2B82"/>
    <w:rsid w:val="6DC02F24"/>
    <w:rsid w:val="6DC20695"/>
    <w:rsid w:val="6DC76061"/>
    <w:rsid w:val="6DCA5B51"/>
    <w:rsid w:val="6DCD62CE"/>
    <w:rsid w:val="6DD10C8D"/>
    <w:rsid w:val="6DDB5FB0"/>
    <w:rsid w:val="6DDC3186"/>
    <w:rsid w:val="6DE22E9A"/>
    <w:rsid w:val="6DE85FD7"/>
    <w:rsid w:val="6DF350A8"/>
    <w:rsid w:val="6DF40E20"/>
    <w:rsid w:val="6DF469D6"/>
    <w:rsid w:val="6E032E11"/>
    <w:rsid w:val="6E070B53"/>
    <w:rsid w:val="6E096679"/>
    <w:rsid w:val="6E11552E"/>
    <w:rsid w:val="6E2434B3"/>
    <w:rsid w:val="6E250FD9"/>
    <w:rsid w:val="6E2C680B"/>
    <w:rsid w:val="6E2E60E0"/>
    <w:rsid w:val="6E315BD0"/>
    <w:rsid w:val="6E31797E"/>
    <w:rsid w:val="6E3F02ED"/>
    <w:rsid w:val="6E445903"/>
    <w:rsid w:val="6E4E0530"/>
    <w:rsid w:val="6E4E22DE"/>
    <w:rsid w:val="6E5024FA"/>
    <w:rsid w:val="6E510020"/>
    <w:rsid w:val="6E526272"/>
    <w:rsid w:val="6E5C7F5F"/>
    <w:rsid w:val="6E625D89"/>
    <w:rsid w:val="6E7A30D3"/>
    <w:rsid w:val="6E7D7067"/>
    <w:rsid w:val="6E82642B"/>
    <w:rsid w:val="6E891568"/>
    <w:rsid w:val="6E906D9A"/>
    <w:rsid w:val="6E930639"/>
    <w:rsid w:val="6E9A3BD7"/>
    <w:rsid w:val="6E9C573F"/>
    <w:rsid w:val="6EA167D1"/>
    <w:rsid w:val="6EA93470"/>
    <w:rsid w:val="6EAE7221"/>
    <w:rsid w:val="6EB83BFB"/>
    <w:rsid w:val="6EB977A6"/>
    <w:rsid w:val="6EBA3E17"/>
    <w:rsid w:val="6EC10D02"/>
    <w:rsid w:val="6EC33158"/>
    <w:rsid w:val="6EC922AC"/>
    <w:rsid w:val="6EC95E08"/>
    <w:rsid w:val="6EDB4AE3"/>
    <w:rsid w:val="6EED7D49"/>
    <w:rsid w:val="6EFA2466"/>
    <w:rsid w:val="6F0230C8"/>
    <w:rsid w:val="6F033C30"/>
    <w:rsid w:val="6F0F4163"/>
    <w:rsid w:val="6F141779"/>
    <w:rsid w:val="6F143527"/>
    <w:rsid w:val="6F223AF6"/>
    <w:rsid w:val="6F23376B"/>
    <w:rsid w:val="6F265009"/>
    <w:rsid w:val="6F285225"/>
    <w:rsid w:val="6F2E3EBD"/>
    <w:rsid w:val="6F35524C"/>
    <w:rsid w:val="6F394D3C"/>
    <w:rsid w:val="6F3B4F58"/>
    <w:rsid w:val="6F3C482C"/>
    <w:rsid w:val="6F3D5F11"/>
    <w:rsid w:val="6F442764"/>
    <w:rsid w:val="6F4471F9"/>
    <w:rsid w:val="6F4A6F49"/>
    <w:rsid w:val="6F5C0A2B"/>
    <w:rsid w:val="6F5E06F8"/>
    <w:rsid w:val="6F6A75EB"/>
    <w:rsid w:val="6F6E4088"/>
    <w:rsid w:val="6F796E17"/>
    <w:rsid w:val="6F7C731F"/>
    <w:rsid w:val="6F7E4E45"/>
    <w:rsid w:val="6F854425"/>
    <w:rsid w:val="6F946416"/>
    <w:rsid w:val="6F9E1043"/>
    <w:rsid w:val="6FA26D85"/>
    <w:rsid w:val="6FA67EF8"/>
    <w:rsid w:val="6FAB550E"/>
    <w:rsid w:val="6FB10D76"/>
    <w:rsid w:val="6FB16FC8"/>
    <w:rsid w:val="6FB42615"/>
    <w:rsid w:val="6FB80A0A"/>
    <w:rsid w:val="6FC16134"/>
    <w:rsid w:val="6FD44A65"/>
    <w:rsid w:val="6FD70BB7"/>
    <w:rsid w:val="6FE07A9C"/>
    <w:rsid w:val="6FE729EA"/>
    <w:rsid w:val="6FF375E1"/>
    <w:rsid w:val="6FF670D1"/>
    <w:rsid w:val="6FFE7371"/>
    <w:rsid w:val="6FFF14AD"/>
    <w:rsid w:val="700370F8"/>
    <w:rsid w:val="700417EE"/>
    <w:rsid w:val="700A0487"/>
    <w:rsid w:val="70206657"/>
    <w:rsid w:val="702552C0"/>
    <w:rsid w:val="70271038"/>
    <w:rsid w:val="70333E81"/>
    <w:rsid w:val="703E6382"/>
    <w:rsid w:val="70425E72"/>
    <w:rsid w:val="70495453"/>
    <w:rsid w:val="70522953"/>
    <w:rsid w:val="70554E57"/>
    <w:rsid w:val="705A140E"/>
    <w:rsid w:val="705B6F34"/>
    <w:rsid w:val="705D2CAC"/>
    <w:rsid w:val="706048A2"/>
    <w:rsid w:val="70606EF9"/>
    <w:rsid w:val="70624CB6"/>
    <w:rsid w:val="706E6C67"/>
    <w:rsid w:val="70756248"/>
    <w:rsid w:val="7076081A"/>
    <w:rsid w:val="70787AE6"/>
    <w:rsid w:val="707B75D6"/>
    <w:rsid w:val="707F2C23"/>
    <w:rsid w:val="70861C0E"/>
    <w:rsid w:val="70912956"/>
    <w:rsid w:val="709B5583"/>
    <w:rsid w:val="70A22DB5"/>
    <w:rsid w:val="70A97C9F"/>
    <w:rsid w:val="70BB79D3"/>
    <w:rsid w:val="70C25205"/>
    <w:rsid w:val="70C555BE"/>
    <w:rsid w:val="70CA52E7"/>
    <w:rsid w:val="70CC398E"/>
    <w:rsid w:val="70D80585"/>
    <w:rsid w:val="70FA04FB"/>
    <w:rsid w:val="71023D91"/>
    <w:rsid w:val="71035C45"/>
    <w:rsid w:val="710529F4"/>
    <w:rsid w:val="71105F71"/>
    <w:rsid w:val="71123A97"/>
    <w:rsid w:val="711F61B4"/>
    <w:rsid w:val="711F7F62"/>
    <w:rsid w:val="71235CA4"/>
    <w:rsid w:val="71273914"/>
    <w:rsid w:val="71327C95"/>
    <w:rsid w:val="71401246"/>
    <w:rsid w:val="714B0D57"/>
    <w:rsid w:val="714D2D21"/>
    <w:rsid w:val="71503EBD"/>
    <w:rsid w:val="715220E5"/>
    <w:rsid w:val="715F4802"/>
    <w:rsid w:val="71633F89"/>
    <w:rsid w:val="716562BC"/>
    <w:rsid w:val="716B764B"/>
    <w:rsid w:val="716D6F1F"/>
    <w:rsid w:val="71867FE1"/>
    <w:rsid w:val="71920CC3"/>
    <w:rsid w:val="71924BD7"/>
    <w:rsid w:val="719E7958"/>
    <w:rsid w:val="71A010A2"/>
    <w:rsid w:val="71A843FB"/>
    <w:rsid w:val="71B66B18"/>
    <w:rsid w:val="71C31235"/>
    <w:rsid w:val="71C37432"/>
    <w:rsid w:val="71CF3736"/>
    <w:rsid w:val="71DA5FB1"/>
    <w:rsid w:val="71E33685"/>
    <w:rsid w:val="71E73175"/>
    <w:rsid w:val="71ED62B2"/>
    <w:rsid w:val="71F72C8D"/>
    <w:rsid w:val="71FD3285"/>
    <w:rsid w:val="71FD64F5"/>
    <w:rsid w:val="72001B41"/>
    <w:rsid w:val="720D425E"/>
    <w:rsid w:val="720E0702"/>
    <w:rsid w:val="720F7FD6"/>
    <w:rsid w:val="72111FA0"/>
    <w:rsid w:val="721F290F"/>
    <w:rsid w:val="722A3062"/>
    <w:rsid w:val="723B0DCB"/>
    <w:rsid w:val="723B3782"/>
    <w:rsid w:val="724203AC"/>
    <w:rsid w:val="72442376"/>
    <w:rsid w:val="72477770"/>
    <w:rsid w:val="724E4FA2"/>
    <w:rsid w:val="72514A93"/>
    <w:rsid w:val="72555F92"/>
    <w:rsid w:val="725E4ABA"/>
    <w:rsid w:val="725E4CB3"/>
    <w:rsid w:val="726227FC"/>
    <w:rsid w:val="72640322"/>
    <w:rsid w:val="72676064"/>
    <w:rsid w:val="726A7902"/>
    <w:rsid w:val="72785B7B"/>
    <w:rsid w:val="729A01E8"/>
    <w:rsid w:val="729D1A86"/>
    <w:rsid w:val="729F4DE6"/>
    <w:rsid w:val="729F75AC"/>
    <w:rsid w:val="72A46970"/>
    <w:rsid w:val="72A5093A"/>
    <w:rsid w:val="72BD5C84"/>
    <w:rsid w:val="72C60FDD"/>
    <w:rsid w:val="72D66D46"/>
    <w:rsid w:val="72DB435C"/>
    <w:rsid w:val="72DC45B8"/>
    <w:rsid w:val="72EA3C3A"/>
    <w:rsid w:val="72ED672C"/>
    <w:rsid w:val="72FA2A34"/>
    <w:rsid w:val="72FE109E"/>
    <w:rsid w:val="73013DC3"/>
    <w:rsid w:val="730438B3"/>
    <w:rsid w:val="7306587D"/>
    <w:rsid w:val="7315786E"/>
    <w:rsid w:val="73171838"/>
    <w:rsid w:val="7318735E"/>
    <w:rsid w:val="731A6C33"/>
    <w:rsid w:val="73223D39"/>
    <w:rsid w:val="7326051E"/>
    <w:rsid w:val="7327134F"/>
    <w:rsid w:val="7329331A"/>
    <w:rsid w:val="733046A8"/>
    <w:rsid w:val="733E5017"/>
    <w:rsid w:val="73412411"/>
    <w:rsid w:val="735E7467"/>
    <w:rsid w:val="73614861"/>
    <w:rsid w:val="736600CA"/>
    <w:rsid w:val="73692554"/>
    <w:rsid w:val="73793740"/>
    <w:rsid w:val="737B753A"/>
    <w:rsid w:val="7382454D"/>
    <w:rsid w:val="73830C7C"/>
    <w:rsid w:val="7386251A"/>
    <w:rsid w:val="739015EB"/>
    <w:rsid w:val="73942E89"/>
    <w:rsid w:val="73A66718"/>
    <w:rsid w:val="73AF381F"/>
    <w:rsid w:val="73B057E9"/>
    <w:rsid w:val="73B46F4E"/>
    <w:rsid w:val="73BC5F3C"/>
    <w:rsid w:val="73C03C7E"/>
    <w:rsid w:val="73C372CA"/>
    <w:rsid w:val="73C376C0"/>
    <w:rsid w:val="73C6500C"/>
    <w:rsid w:val="73CB43D1"/>
    <w:rsid w:val="73CD0149"/>
    <w:rsid w:val="73D834C2"/>
    <w:rsid w:val="73D9089C"/>
    <w:rsid w:val="73E21E46"/>
    <w:rsid w:val="73EF4563"/>
    <w:rsid w:val="73FE47A6"/>
    <w:rsid w:val="7400051E"/>
    <w:rsid w:val="740872E0"/>
    <w:rsid w:val="740A4EF9"/>
    <w:rsid w:val="740C16A3"/>
    <w:rsid w:val="74123DAE"/>
    <w:rsid w:val="7416389E"/>
    <w:rsid w:val="741B0EB4"/>
    <w:rsid w:val="741C4C2C"/>
    <w:rsid w:val="741C69DA"/>
    <w:rsid w:val="74275AAB"/>
    <w:rsid w:val="742F4960"/>
    <w:rsid w:val="743326A2"/>
    <w:rsid w:val="74424693"/>
    <w:rsid w:val="744321B9"/>
    <w:rsid w:val="74455F31"/>
    <w:rsid w:val="745148D6"/>
    <w:rsid w:val="745E0F4B"/>
    <w:rsid w:val="74667069"/>
    <w:rsid w:val="746740F9"/>
    <w:rsid w:val="74770050"/>
    <w:rsid w:val="747F3106"/>
    <w:rsid w:val="7487479C"/>
    <w:rsid w:val="748864F1"/>
    <w:rsid w:val="748A646C"/>
    <w:rsid w:val="748C1DB2"/>
    <w:rsid w:val="7494608C"/>
    <w:rsid w:val="74956EB9"/>
    <w:rsid w:val="749649DF"/>
    <w:rsid w:val="749B3DA3"/>
    <w:rsid w:val="74A569D0"/>
    <w:rsid w:val="74AA048A"/>
    <w:rsid w:val="74B3733F"/>
    <w:rsid w:val="74B530B7"/>
    <w:rsid w:val="74BB2697"/>
    <w:rsid w:val="74C0380A"/>
    <w:rsid w:val="74C23A26"/>
    <w:rsid w:val="74C257D4"/>
    <w:rsid w:val="74DF6386"/>
    <w:rsid w:val="74E03EAC"/>
    <w:rsid w:val="74E1190B"/>
    <w:rsid w:val="74E120FE"/>
    <w:rsid w:val="74E219D2"/>
    <w:rsid w:val="74E31FE0"/>
    <w:rsid w:val="74E41BEE"/>
    <w:rsid w:val="74E7523A"/>
    <w:rsid w:val="74EC45FF"/>
    <w:rsid w:val="74F82FA3"/>
    <w:rsid w:val="751F6782"/>
    <w:rsid w:val="753164B5"/>
    <w:rsid w:val="75322959"/>
    <w:rsid w:val="7538447B"/>
    <w:rsid w:val="75385A96"/>
    <w:rsid w:val="753E0ADA"/>
    <w:rsid w:val="753F5076"/>
    <w:rsid w:val="7545775C"/>
    <w:rsid w:val="754B57C9"/>
    <w:rsid w:val="755503F6"/>
    <w:rsid w:val="75591733"/>
    <w:rsid w:val="756248C1"/>
    <w:rsid w:val="756439B1"/>
    <w:rsid w:val="7574536F"/>
    <w:rsid w:val="757765BE"/>
    <w:rsid w:val="758807CB"/>
    <w:rsid w:val="758B206A"/>
    <w:rsid w:val="758E56B6"/>
    <w:rsid w:val="75991677"/>
    <w:rsid w:val="759929D8"/>
    <w:rsid w:val="759E7FEF"/>
    <w:rsid w:val="75A62B0A"/>
    <w:rsid w:val="75A91298"/>
    <w:rsid w:val="75AD1FE0"/>
    <w:rsid w:val="75B0387E"/>
    <w:rsid w:val="75B415C0"/>
    <w:rsid w:val="75BE0CA2"/>
    <w:rsid w:val="75D05CCE"/>
    <w:rsid w:val="75D21A46"/>
    <w:rsid w:val="75E1612D"/>
    <w:rsid w:val="75E579CC"/>
    <w:rsid w:val="75E62527"/>
    <w:rsid w:val="75E8126A"/>
    <w:rsid w:val="75ED4AD2"/>
    <w:rsid w:val="75F419BD"/>
    <w:rsid w:val="75F96FD3"/>
    <w:rsid w:val="76041905"/>
    <w:rsid w:val="761149F3"/>
    <w:rsid w:val="761756AB"/>
    <w:rsid w:val="76180C4D"/>
    <w:rsid w:val="76261D92"/>
    <w:rsid w:val="762A1882"/>
    <w:rsid w:val="762B5982"/>
    <w:rsid w:val="76312806"/>
    <w:rsid w:val="763C3364"/>
    <w:rsid w:val="763E597F"/>
    <w:rsid w:val="76452218"/>
    <w:rsid w:val="764566BC"/>
    <w:rsid w:val="764741E2"/>
    <w:rsid w:val="764D5571"/>
    <w:rsid w:val="76530DD9"/>
    <w:rsid w:val="765440E5"/>
    <w:rsid w:val="765B5EE0"/>
    <w:rsid w:val="76607052"/>
    <w:rsid w:val="76674885"/>
    <w:rsid w:val="76795419"/>
    <w:rsid w:val="76796366"/>
    <w:rsid w:val="767C27B0"/>
    <w:rsid w:val="767E397C"/>
    <w:rsid w:val="76805946"/>
    <w:rsid w:val="7682134D"/>
    <w:rsid w:val="768216BE"/>
    <w:rsid w:val="768E3FDE"/>
    <w:rsid w:val="769B452E"/>
    <w:rsid w:val="76A01B45"/>
    <w:rsid w:val="76B33626"/>
    <w:rsid w:val="76B92C06"/>
    <w:rsid w:val="76C75323"/>
    <w:rsid w:val="76D33CC8"/>
    <w:rsid w:val="76DA5057"/>
    <w:rsid w:val="76DE441B"/>
    <w:rsid w:val="76E539FB"/>
    <w:rsid w:val="76EA32EC"/>
    <w:rsid w:val="76EE201C"/>
    <w:rsid w:val="76F53C3E"/>
    <w:rsid w:val="76F8372F"/>
    <w:rsid w:val="76F93003"/>
    <w:rsid w:val="7702635B"/>
    <w:rsid w:val="7709593C"/>
    <w:rsid w:val="770976EA"/>
    <w:rsid w:val="77110F15"/>
    <w:rsid w:val="771B741D"/>
    <w:rsid w:val="772B18B0"/>
    <w:rsid w:val="77383B2B"/>
    <w:rsid w:val="773C7ABF"/>
    <w:rsid w:val="77413F77"/>
    <w:rsid w:val="774424D0"/>
    <w:rsid w:val="77456248"/>
    <w:rsid w:val="77470212"/>
    <w:rsid w:val="77484F63"/>
    <w:rsid w:val="775947BB"/>
    <w:rsid w:val="775F555C"/>
    <w:rsid w:val="77674410"/>
    <w:rsid w:val="776F6FC2"/>
    <w:rsid w:val="77707769"/>
    <w:rsid w:val="777A2396"/>
    <w:rsid w:val="777D59E2"/>
    <w:rsid w:val="778356EE"/>
    <w:rsid w:val="77846D70"/>
    <w:rsid w:val="77977FC3"/>
    <w:rsid w:val="77A6318B"/>
    <w:rsid w:val="77AB07A1"/>
    <w:rsid w:val="77BA09E4"/>
    <w:rsid w:val="77D71AEC"/>
    <w:rsid w:val="77D73344"/>
    <w:rsid w:val="77D777E8"/>
    <w:rsid w:val="77DC095A"/>
    <w:rsid w:val="77E05892"/>
    <w:rsid w:val="77ED2B68"/>
    <w:rsid w:val="77F02658"/>
    <w:rsid w:val="78000AED"/>
    <w:rsid w:val="780340CB"/>
    <w:rsid w:val="78034139"/>
    <w:rsid w:val="78146FC1"/>
    <w:rsid w:val="781A1483"/>
    <w:rsid w:val="781C2072"/>
    <w:rsid w:val="782567A5"/>
    <w:rsid w:val="782D565A"/>
    <w:rsid w:val="783E1615"/>
    <w:rsid w:val="784309DA"/>
    <w:rsid w:val="78484242"/>
    <w:rsid w:val="784A1D68"/>
    <w:rsid w:val="784F3822"/>
    <w:rsid w:val="784F737E"/>
    <w:rsid w:val="78520C1D"/>
    <w:rsid w:val="78603C19"/>
    <w:rsid w:val="78680440"/>
    <w:rsid w:val="786D2338"/>
    <w:rsid w:val="78774B27"/>
    <w:rsid w:val="787B63C5"/>
    <w:rsid w:val="78857244"/>
    <w:rsid w:val="788B2D70"/>
    <w:rsid w:val="788B7F7E"/>
    <w:rsid w:val="78944E1E"/>
    <w:rsid w:val="78992CEF"/>
    <w:rsid w:val="789A0329"/>
    <w:rsid w:val="789B08C4"/>
    <w:rsid w:val="789E38A7"/>
    <w:rsid w:val="78A771BA"/>
    <w:rsid w:val="78B35B5F"/>
    <w:rsid w:val="78B37A40"/>
    <w:rsid w:val="78B673FD"/>
    <w:rsid w:val="78C53AE4"/>
    <w:rsid w:val="78C57641"/>
    <w:rsid w:val="78DE0702"/>
    <w:rsid w:val="78DF4BA6"/>
    <w:rsid w:val="78E24696"/>
    <w:rsid w:val="78EB5BE1"/>
    <w:rsid w:val="78F32400"/>
    <w:rsid w:val="79062AD2"/>
    <w:rsid w:val="792425B9"/>
    <w:rsid w:val="79257D62"/>
    <w:rsid w:val="792A3948"/>
    <w:rsid w:val="792E3438"/>
    <w:rsid w:val="79393B8B"/>
    <w:rsid w:val="79426EE3"/>
    <w:rsid w:val="79442C5B"/>
    <w:rsid w:val="79464C25"/>
    <w:rsid w:val="794669D3"/>
    <w:rsid w:val="79481BFE"/>
    <w:rsid w:val="794A5D98"/>
    <w:rsid w:val="794C7D62"/>
    <w:rsid w:val="79507852"/>
    <w:rsid w:val="79537342"/>
    <w:rsid w:val="79627585"/>
    <w:rsid w:val="796432FD"/>
    <w:rsid w:val="79654980"/>
    <w:rsid w:val="79674B9C"/>
    <w:rsid w:val="797057FE"/>
    <w:rsid w:val="79767C4F"/>
    <w:rsid w:val="79782905"/>
    <w:rsid w:val="797A042B"/>
    <w:rsid w:val="798B2638"/>
    <w:rsid w:val="79A637C0"/>
    <w:rsid w:val="79AE6327"/>
    <w:rsid w:val="79B55907"/>
    <w:rsid w:val="79C21DD2"/>
    <w:rsid w:val="79CD2C51"/>
    <w:rsid w:val="79CE0777"/>
    <w:rsid w:val="79DA35C0"/>
    <w:rsid w:val="79DD09BA"/>
    <w:rsid w:val="79E61F64"/>
    <w:rsid w:val="79E9735F"/>
    <w:rsid w:val="79EA1A55"/>
    <w:rsid w:val="79F521A7"/>
    <w:rsid w:val="79FF06C1"/>
    <w:rsid w:val="7A04063C"/>
    <w:rsid w:val="7A08012D"/>
    <w:rsid w:val="7A0B5527"/>
    <w:rsid w:val="7A1C5986"/>
    <w:rsid w:val="7A24483B"/>
    <w:rsid w:val="7A252A8D"/>
    <w:rsid w:val="7A2860D9"/>
    <w:rsid w:val="7A2E492E"/>
    <w:rsid w:val="7A37456E"/>
    <w:rsid w:val="7A37631C"/>
    <w:rsid w:val="7A387563"/>
    <w:rsid w:val="7A3C1B84"/>
    <w:rsid w:val="7A3C3932"/>
    <w:rsid w:val="7A41719B"/>
    <w:rsid w:val="7A4D5B40"/>
    <w:rsid w:val="7A590988"/>
    <w:rsid w:val="7A680BCB"/>
    <w:rsid w:val="7A6D4434"/>
    <w:rsid w:val="7A6D61E2"/>
    <w:rsid w:val="7AA03EC1"/>
    <w:rsid w:val="7AA21E38"/>
    <w:rsid w:val="7AA31C03"/>
    <w:rsid w:val="7AA65250"/>
    <w:rsid w:val="7AAC0AB8"/>
    <w:rsid w:val="7AAC6D0A"/>
    <w:rsid w:val="7AB0113F"/>
    <w:rsid w:val="7AB67B89"/>
    <w:rsid w:val="7ABB519F"/>
    <w:rsid w:val="7AC83418"/>
    <w:rsid w:val="7ACD0DA7"/>
    <w:rsid w:val="7AD62AFD"/>
    <w:rsid w:val="7ADB314B"/>
    <w:rsid w:val="7AE30252"/>
    <w:rsid w:val="7AE31349"/>
    <w:rsid w:val="7AE77D42"/>
    <w:rsid w:val="7AF81F4F"/>
    <w:rsid w:val="7AF85A3A"/>
    <w:rsid w:val="7B0E3521"/>
    <w:rsid w:val="7B105511"/>
    <w:rsid w:val="7B1D19B6"/>
    <w:rsid w:val="7B1D7C08"/>
    <w:rsid w:val="7B203254"/>
    <w:rsid w:val="7B2041E2"/>
    <w:rsid w:val="7B221178"/>
    <w:rsid w:val="7B33214E"/>
    <w:rsid w:val="7B426184"/>
    <w:rsid w:val="7B446F42"/>
    <w:rsid w:val="7B4C0432"/>
    <w:rsid w:val="7B4C229B"/>
    <w:rsid w:val="7B4C72C4"/>
    <w:rsid w:val="7B4E32F8"/>
    <w:rsid w:val="7B51340D"/>
    <w:rsid w:val="7B5B0730"/>
    <w:rsid w:val="7B5B603A"/>
    <w:rsid w:val="7B656EB9"/>
    <w:rsid w:val="7B6E3FBF"/>
    <w:rsid w:val="7B713AB0"/>
    <w:rsid w:val="7B7377EA"/>
    <w:rsid w:val="7B7B048A"/>
    <w:rsid w:val="7B7D7EBE"/>
    <w:rsid w:val="7B853435"/>
    <w:rsid w:val="7B8D6A5D"/>
    <w:rsid w:val="7B902188"/>
    <w:rsid w:val="7B95154C"/>
    <w:rsid w:val="7B9C6D7F"/>
    <w:rsid w:val="7BA9149B"/>
    <w:rsid w:val="7BB120FE"/>
    <w:rsid w:val="7BB73BB8"/>
    <w:rsid w:val="7BC167E5"/>
    <w:rsid w:val="7BCB7664"/>
    <w:rsid w:val="7BCF674F"/>
    <w:rsid w:val="7BD63D72"/>
    <w:rsid w:val="7BE91898"/>
    <w:rsid w:val="7BF02C26"/>
    <w:rsid w:val="7BF070CA"/>
    <w:rsid w:val="7BF83504"/>
    <w:rsid w:val="7BFF10BB"/>
    <w:rsid w:val="7BFF6F2A"/>
    <w:rsid w:val="7C0466D2"/>
    <w:rsid w:val="7C0641F8"/>
    <w:rsid w:val="7C0D37D8"/>
    <w:rsid w:val="7C1903CF"/>
    <w:rsid w:val="7C1F52BA"/>
    <w:rsid w:val="7C2823C0"/>
    <w:rsid w:val="7C2B0102"/>
    <w:rsid w:val="7C321491"/>
    <w:rsid w:val="7C3C2310"/>
    <w:rsid w:val="7C4411C4"/>
    <w:rsid w:val="7C464F3C"/>
    <w:rsid w:val="7C476BB3"/>
    <w:rsid w:val="7C480CB4"/>
    <w:rsid w:val="7C525D18"/>
    <w:rsid w:val="7C594E00"/>
    <w:rsid w:val="7C5A31FD"/>
    <w:rsid w:val="7C5E1A15"/>
    <w:rsid w:val="7C66113B"/>
    <w:rsid w:val="7C6C17B0"/>
    <w:rsid w:val="7C701FB9"/>
    <w:rsid w:val="7C741AA9"/>
    <w:rsid w:val="7C75312C"/>
    <w:rsid w:val="7C7F3FAA"/>
    <w:rsid w:val="7C831632"/>
    <w:rsid w:val="7C907F65"/>
    <w:rsid w:val="7C977546"/>
    <w:rsid w:val="7C98366B"/>
    <w:rsid w:val="7CA57EB5"/>
    <w:rsid w:val="7CA75C43"/>
    <w:rsid w:val="7CAA7279"/>
    <w:rsid w:val="7CAB4D9F"/>
    <w:rsid w:val="7CAD4FBB"/>
    <w:rsid w:val="7CB41EA6"/>
    <w:rsid w:val="7CC876FF"/>
    <w:rsid w:val="7CC93474"/>
    <w:rsid w:val="7CD51E1C"/>
    <w:rsid w:val="7CDF6EBD"/>
    <w:rsid w:val="7CDF7C7E"/>
    <w:rsid w:val="7CEF2EDE"/>
    <w:rsid w:val="7CF4718F"/>
    <w:rsid w:val="7D1D3EEF"/>
    <w:rsid w:val="7D222B7A"/>
    <w:rsid w:val="7D232333"/>
    <w:rsid w:val="7D281C97"/>
    <w:rsid w:val="7D330940"/>
    <w:rsid w:val="7D384885"/>
    <w:rsid w:val="7D3B4375"/>
    <w:rsid w:val="7D5611AF"/>
    <w:rsid w:val="7D621902"/>
    <w:rsid w:val="7D712C70"/>
    <w:rsid w:val="7D8C71BA"/>
    <w:rsid w:val="7D8E0B10"/>
    <w:rsid w:val="7D9A72EE"/>
    <w:rsid w:val="7D9B3F62"/>
    <w:rsid w:val="7D9F66B2"/>
    <w:rsid w:val="7DB36601"/>
    <w:rsid w:val="7DB867F1"/>
    <w:rsid w:val="7DBB42EE"/>
    <w:rsid w:val="7DBC3708"/>
    <w:rsid w:val="7DD30A52"/>
    <w:rsid w:val="7DD345AE"/>
    <w:rsid w:val="7DDE698C"/>
    <w:rsid w:val="7DE06CCB"/>
    <w:rsid w:val="7DEB5D9B"/>
    <w:rsid w:val="7DEE13E8"/>
    <w:rsid w:val="7DF033B2"/>
    <w:rsid w:val="7DF12C86"/>
    <w:rsid w:val="7DF369FE"/>
    <w:rsid w:val="7DF509C8"/>
    <w:rsid w:val="7DFC3B04"/>
    <w:rsid w:val="7E046E5D"/>
    <w:rsid w:val="7E0B4983"/>
    <w:rsid w:val="7E0D5D12"/>
    <w:rsid w:val="7E1075B0"/>
    <w:rsid w:val="7E174DE1"/>
    <w:rsid w:val="7E221091"/>
    <w:rsid w:val="7E24305B"/>
    <w:rsid w:val="7E2B6198"/>
    <w:rsid w:val="7E2E7A36"/>
    <w:rsid w:val="7E327526"/>
    <w:rsid w:val="7E374919"/>
    <w:rsid w:val="7E394D59"/>
    <w:rsid w:val="7E3E1799"/>
    <w:rsid w:val="7E461224"/>
    <w:rsid w:val="7E4B683A"/>
    <w:rsid w:val="7E53749D"/>
    <w:rsid w:val="7E561C84"/>
    <w:rsid w:val="7E5751DF"/>
    <w:rsid w:val="7E5A4CCF"/>
    <w:rsid w:val="7E5C27F5"/>
    <w:rsid w:val="7E77078C"/>
    <w:rsid w:val="7E7E6C0F"/>
    <w:rsid w:val="7E7F4735"/>
    <w:rsid w:val="7E8458A8"/>
    <w:rsid w:val="7E8B5ECB"/>
    <w:rsid w:val="7E8F4979"/>
    <w:rsid w:val="7EA146AC"/>
    <w:rsid w:val="7EA63720"/>
    <w:rsid w:val="7EAD3051"/>
    <w:rsid w:val="7EBC3294"/>
    <w:rsid w:val="7EBC5EF3"/>
    <w:rsid w:val="7EBE700C"/>
    <w:rsid w:val="7EC00FD6"/>
    <w:rsid w:val="7EC14D4E"/>
    <w:rsid w:val="7ECA59B1"/>
    <w:rsid w:val="7ECD724F"/>
    <w:rsid w:val="7ECF4EEC"/>
    <w:rsid w:val="7ED20D09"/>
    <w:rsid w:val="7ED607F9"/>
    <w:rsid w:val="7EDB5E10"/>
    <w:rsid w:val="7EDD39F7"/>
    <w:rsid w:val="7EEA7E01"/>
    <w:rsid w:val="7EF26DF5"/>
    <w:rsid w:val="7EF944E8"/>
    <w:rsid w:val="7EFB0260"/>
    <w:rsid w:val="7F01514B"/>
    <w:rsid w:val="7F0F1615"/>
    <w:rsid w:val="7F184007"/>
    <w:rsid w:val="7F1D01D6"/>
    <w:rsid w:val="7F2A644F"/>
    <w:rsid w:val="7F323556"/>
    <w:rsid w:val="7F376DBE"/>
    <w:rsid w:val="7F3948E4"/>
    <w:rsid w:val="7F3B68AE"/>
    <w:rsid w:val="7F413799"/>
    <w:rsid w:val="7F475253"/>
    <w:rsid w:val="7F533BF8"/>
    <w:rsid w:val="7F567244"/>
    <w:rsid w:val="7F606315"/>
    <w:rsid w:val="7F637BB3"/>
    <w:rsid w:val="7F6A0372"/>
    <w:rsid w:val="7F703639"/>
    <w:rsid w:val="7F7678E7"/>
    <w:rsid w:val="7F966D96"/>
    <w:rsid w:val="7F9E0BEB"/>
    <w:rsid w:val="7FA27C7E"/>
    <w:rsid w:val="7FB34697"/>
    <w:rsid w:val="7FBE6CE1"/>
    <w:rsid w:val="7FBF128D"/>
    <w:rsid w:val="7FC93EBA"/>
    <w:rsid w:val="7FD23386"/>
    <w:rsid w:val="7FDF106F"/>
    <w:rsid w:val="7FE72592"/>
    <w:rsid w:val="7FE74340"/>
    <w:rsid w:val="7FE9455C"/>
    <w:rsid w:val="7FE9630A"/>
    <w:rsid w:val="7FF01447"/>
    <w:rsid w:val="7FF058EB"/>
    <w:rsid w:val="7FF15E18"/>
    <w:rsid w:val="7FF92FEF"/>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qFormat="1" w:unhideWhenUsed="0"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4"/>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23"/>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260"/>
      <w:jc w:val="left"/>
    </w:pPr>
    <w:rPr>
      <w:rFonts w:ascii="等线" w:eastAsia="等线"/>
      <w:sz w:val="18"/>
      <w:szCs w:val="18"/>
    </w:rPr>
  </w:style>
  <w:style w:type="paragraph" w:styleId="12">
    <w:name w:val="Document Map"/>
    <w:basedOn w:val="1"/>
    <w:semiHidden/>
    <w:qFormat/>
    <w:uiPriority w:val="0"/>
    <w:pPr>
      <w:shd w:val="clear" w:color="auto" w:fill="000080"/>
    </w:pPr>
  </w:style>
  <w:style w:type="paragraph" w:styleId="13">
    <w:name w:val="annotation text"/>
    <w:basedOn w:val="1"/>
    <w:link w:val="130"/>
    <w:qFormat/>
    <w:uiPriority w:val="0"/>
    <w:pPr>
      <w:jc w:val="left"/>
    </w:pPr>
  </w:style>
  <w:style w:type="paragraph" w:styleId="14">
    <w:name w:val="HTML Address"/>
    <w:basedOn w:val="1"/>
    <w:qFormat/>
    <w:uiPriority w:val="0"/>
    <w:rPr>
      <w:i/>
      <w:iCs/>
    </w:rPr>
  </w:style>
  <w:style w:type="paragraph" w:styleId="15">
    <w:name w:val="toc 5"/>
    <w:basedOn w:val="1"/>
    <w:next w:val="1"/>
    <w:unhideWhenUsed/>
    <w:qFormat/>
    <w:uiPriority w:val="39"/>
    <w:pPr>
      <w:ind w:left="840"/>
      <w:jc w:val="left"/>
    </w:pPr>
    <w:rPr>
      <w:rFonts w:ascii="等线" w:eastAsia="等线"/>
      <w:sz w:val="18"/>
      <w:szCs w:val="18"/>
    </w:rPr>
  </w:style>
  <w:style w:type="paragraph" w:styleId="16">
    <w:name w:val="toc 3"/>
    <w:basedOn w:val="1"/>
    <w:next w:val="1"/>
    <w:qFormat/>
    <w:uiPriority w:val="39"/>
    <w:pPr>
      <w:ind w:left="420"/>
      <w:jc w:val="left"/>
    </w:pPr>
    <w:rPr>
      <w:rFonts w:ascii="等线" w:eastAsia="等线"/>
      <w:i/>
      <w:iCs/>
      <w:sz w:val="20"/>
      <w:szCs w:val="20"/>
    </w:rPr>
  </w:style>
  <w:style w:type="paragraph" w:styleId="17">
    <w:name w:val="toc 8"/>
    <w:basedOn w:val="1"/>
    <w:next w:val="1"/>
    <w:unhideWhenUsed/>
    <w:qFormat/>
    <w:uiPriority w:val="39"/>
    <w:pPr>
      <w:ind w:left="1470"/>
      <w:jc w:val="left"/>
    </w:pPr>
    <w:rPr>
      <w:rFonts w:ascii="等线" w:eastAsia="等线"/>
      <w:sz w:val="18"/>
      <w:szCs w:val="18"/>
    </w:rPr>
  </w:style>
  <w:style w:type="paragraph" w:styleId="18">
    <w:name w:val="Date"/>
    <w:basedOn w:val="1"/>
    <w:next w:val="1"/>
    <w:qFormat/>
    <w:uiPriority w:val="0"/>
    <w:pPr>
      <w:ind w:left="100" w:leftChars="2500"/>
    </w:pPr>
  </w:style>
  <w:style w:type="paragraph" w:styleId="19">
    <w:name w:val="Balloon Text"/>
    <w:basedOn w:val="1"/>
    <w:semiHidden/>
    <w:qFormat/>
    <w:uiPriority w:val="0"/>
    <w:rPr>
      <w:sz w:val="18"/>
      <w:szCs w:val="18"/>
    </w:rPr>
  </w:style>
  <w:style w:type="paragraph" w:styleId="20">
    <w:name w:val="footer"/>
    <w:basedOn w:val="1"/>
    <w:link w:val="126"/>
    <w:qFormat/>
    <w:uiPriority w:val="99"/>
    <w:pPr>
      <w:tabs>
        <w:tab w:val="center" w:pos="4153"/>
        <w:tab w:val="right" w:pos="8306"/>
      </w:tabs>
      <w:snapToGrid w:val="0"/>
      <w:ind w:right="210" w:rightChars="100"/>
      <w:jc w:val="right"/>
    </w:pPr>
    <w:rPr>
      <w:sz w:val="18"/>
      <w:szCs w:val="18"/>
    </w:rPr>
  </w:style>
  <w:style w:type="paragraph" w:styleId="21">
    <w:name w:val="header"/>
    <w:basedOn w:val="1"/>
    <w:link w:val="121"/>
    <w:qFormat/>
    <w:uiPriority w:val="99"/>
    <w:pPr>
      <w:numPr>
        <w:ilvl w:val="6"/>
        <w:numId w:val="1"/>
      </w:num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spacing w:before="120" w:after="120"/>
      <w:jc w:val="left"/>
    </w:pPr>
    <w:rPr>
      <w:rFonts w:ascii="等线" w:eastAsia="等线"/>
      <w:b/>
      <w:bCs/>
      <w:caps/>
      <w:sz w:val="20"/>
      <w:szCs w:val="20"/>
    </w:rPr>
  </w:style>
  <w:style w:type="paragraph" w:styleId="23">
    <w:name w:val="toc 4"/>
    <w:basedOn w:val="1"/>
    <w:next w:val="1"/>
    <w:unhideWhenUsed/>
    <w:qFormat/>
    <w:uiPriority w:val="39"/>
    <w:pPr>
      <w:ind w:left="630"/>
      <w:jc w:val="left"/>
    </w:pPr>
    <w:rPr>
      <w:rFonts w:ascii="等线" w:eastAsia="等线"/>
      <w:sz w:val="18"/>
      <w:szCs w:val="18"/>
    </w:rPr>
  </w:style>
  <w:style w:type="paragraph" w:styleId="24">
    <w:name w:val="footnote text"/>
    <w:basedOn w:val="1"/>
    <w:semiHidden/>
    <w:qFormat/>
    <w:uiPriority w:val="0"/>
    <w:pPr>
      <w:snapToGrid w:val="0"/>
      <w:jc w:val="left"/>
    </w:pPr>
    <w:rPr>
      <w:sz w:val="18"/>
      <w:szCs w:val="18"/>
    </w:rPr>
  </w:style>
  <w:style w:type="paragraph" w:styleId="25">
    <w:name w:val="toc 6"/>
    <w:basedOn w:val="1"/>
    <w:next w:val="1"/>
    <w:unhideWhenUsed/>
    <w:qFormat/>
    <w:uiPriority w:val="39"/>
    <w:pPr>
      <w:ind w:left="1050"/>
      <w:jc w:val="left"/>
    </w:pPr>
    <w:rPr>
      <w:rFonts w:ascii="等线" w:eastAsia="等线"/>
      <w:sz w:val="18"/>
      <w:szCs w:val="18"/>
    </w:rPr>
  </w:style>
  <w:style w:type="paragraph" w:styleId="26">
    <w:name w:val="toc 2"/>
    <w:basedOn w:val="1"/>
    <w:next w:val="1"/>
    <w:qFormat/>
    <w:uiPriority w:val="39"/>
    <w:pPr>
      <w:tabs>
        <w:tab w:val="left" w:pos="1260"/>
        <w:tab w:val="right" w:leader="dot" w:pos="9345"/>
      </w:tabs>
      <w:ind w:left="210"/>
      <w:jc w:val="left"/>
    </w:pPr>
    <w:rPr>
      <w:rFonts w:ascii="等线" w:eastAsia="等线"/>
      <w:smallCaps/>
      <w:sz w:val="20"/>
      <w:szCs w:val="20"/>
    </w:rPr>
  </w:style>
  <w:style w:type="paragraph" w:styleId="27">
    <w:name w:val="toc 9"/>
    <w:basedOn w:val="1"/>
    <w:next w:val="1"/>
    <w:unhideWhenUsed/>
    <w:qFormat/>
    <w:uiPriority w:val="39"/>
    <w:pPr>
      <w:ind w:left="1680"/>
      <w:jc w:val="left"/>
    </w:pPr>
    <w:rPr>
      <w:rFonts w:ascii="等线" w:eastAsia="等线"/>
      <w:sz w:val="18"/>
      <w:szCs w:val="18"/>
    </w:rPr>
  </w:style>
  <w:style w:type="paragraph" w:styleId="28">
    <w:name w:val="HTML Preformatted"/>
    <w:basedOn w:val="1"/>
    <w:qFormat/>
    <w:uiPriority w:val="0"/>
    <w:rPr>
      <w:rFonts w:ascii="Courier New" w:hAnsi="Courier New" w:cs="Courier New"/>
      <w:sz w:val="20"/>
      <w:szCs w:val="20"/>
    </w:rPr>
  </w:style>
  <w:style w:type="paragraph" w:styleId="29">
    <w:name w:val="Normal (Web)"/>
    <w:basedOn w:val="1"/>
    <w:qFormat/>
    <w:uiPriority w:val="0"/>
    <w:pPr>
      <w:widowControl/>
      <w:spacing w:before="100" w:beforeAutospacing="1" w:after="100" w:afterAutospacing="1" w:line="330" w:lineRule="atLeast"/>
      <w:jc w:val="left"/>
    </w:pPr>
    <w:rPr>
      <w:rFonts w:ascii="宋体" w:hAnsi="宋体" w:cs="宋体"/>
      <w:kern w:val="0"/>
      <w:sz w:val="22"/>
      <w:szCs w:val="22"/>
    </w:rPr>
  </w:style>
  <w:style w:type="paragraph" w:styleId="30">
    <w:name w:val="Title"/>
    <w:basedOn w:val="1"/>
    <w:qFormat/>
    <w:uiPriority w:val="0"/>
    <w:pPr>
      <w:spacing w:before="240" w:after="60"/>
      <w:jc w:val="center"/>
      <w:outlineLvl w:val="0"/>
    </w:pPr>
    <w:rPr>
      <w:rFonts w:ascii="Arial" w:hAnsi="Arial" w:cs="Arial"/>
      <w:b/>
      <w:bCs/>
      <w:sz w:val="32"/>
      <w:szCs w:val="32"/>
    </w:rPr>
  </w:style>
  <w:style w:type="paragraph" w:styleId="31">
    <w:name w:val="annotation subject"/>
    <w:basedOn w:val="13"/>
    <w:next w:val="13"/>
    <w:link w:val="131"/>
    <w:qFormat/>
    <w:uiPriority w:val="0"/>
    <w:rPr>
      <w:b/>
      <w:bCs/>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rPr>
  </w:style>
  <w:style w:type="character" w:styleId="36">
    <w:name w:val="page number"/>
    <w:qFormat/>
    <w:uiPriority w:val="0"/>
    <w:rPr>
      <w:rFonts w:ascii="Times New Roman" w:hAnsi="Times New Roman" w:eastAsia="宋体"/>
      <w:sz w:val="18"/>
    </w:rPr>
  </w:style>
  <w:style w:type="character" w:styleId="37">
    <w:name w:val="HTML Definition"/>
    <w:qFormat/>
    <w:uiPriority w:val="0"/>
    <w:rPr>
      <w:i/>
      <w:iCs/>
    </w:rPr>
  </w:style>
  <w:style w:type="character" w:styleId="38">
    <w:name w:val="HTML Typewriter"/>
    <w:qFormat/>
    <w:uiPriority w:val="0"/>
    <w:rPr>
      <w:rFonts w:ascii="Courier New" w:hAnsi="Courier New"/>
      <w:sz w:val="20"/>
      <w:szCs w:val="20"/>
    </w:rPr>
  </w:style>
  <w:style w:type="character" w:styleId="39">
    <w:name w:val="HTML Acronym"/>
    <w:basedOn w:val="34"/>
    <w:qFormat/>
    <w:uiPriority w:val="0"/>
  </w:style>
  <w:style w:type="character" w:styleId="40">
    <w:name w:val="HTML Variable"/>
    <w:qFormat/>
    <w:uiPriority w:val="0"/>
    <w:rPr>
      <w:i/>
      <w:iCs/>
    </w:rPr>
  </w:style>
  <w:style w:type="character" w:styleId="41">
    <w:name w:val="Hyperlink"/>
    <w:basedOn w:val="34"/>
    <w:qFormat/>
    <w:uiPriority w:val="99"/>
    <w:rPr>
      <w:rFonts w:ascii="Times New Roman" w:hAnsi="Times New Roman" w:eastAsia="宋体"/>
      <w:color w:val="auto"/>
      <w:spacing w:val="0"/>
      <w:w w:val="100"/>
      <w:position w:val="0"/>
      <w:sz w:val="21"/>
      <w:u w:val="none"/>
      <w:vertAlign w:val="baseline"/>
    </w:rPr>
  </w:style>
  <w:style w:type="character" w:styleId="42">
    <w:name w:val="HTML Code"/>
    <w:qFormat/>
    <w:uiPriority w:val="0"/>
    <w:rPr>
      <w:rFonts w:ascii="Courier New" w:hAnsi="Courier New"/>
      <w:sz w:val="20"/>
      <w:szCs w:val="20"/>
    </w:rPr>
  </w:style>
  <w:style w:type="character" w:styleId="43">
    <w:name w:val="annotation reference"/>
    <w:basedOn w:val="34"/>
    <w:qFormat/>
    <w:uiPriority w:val="0"/>
    <w:rPr>
      <w:sz w:val="21"/>
      <w:szCs w:val="21"/>
    </w:rPr>
  </w:style>
  <w:style w:type="character" w:styleId="44">
    <w:name w:val="HTML Cite"/>
    <w:qFormat/>
    <w:uiPriority w:val="0"/>
    <w:rPr>
      <w:i/>
      <w:iCs/>
    </w:rPr>
  </w:style>
  <w:style w:type="character" w:styleId="45">
    <w:name w:val="footnote reference"/>
    <w:semiHidden/>
    <w:qFormat/>
    <w:uiPriority w:val="0"/>
    <w:rPr>
      <w:vertAlign w:val="superscript"/>
    </w:rPr>
  </w:style>
  <w:style w:type="character" w:styleId="46">
    <w:name w:val="HTML Keyboard"/>
    <w:qFormat/>
    <w:uiPriority w:val="0"/>
    <w:rPr>
      <w:rFonts w:ascii="Courier New" w:hAnsi="Courier New"/>
      <w:sz w:val="20"/>
      <w:szCs w:val="20"/>
    </w:rPr>
  </w:style>
  <w:style w:type="character" w:styleId="47">
    <w:name w:val="HTML Sample"/>
    <w:qFormat/>
    <w:uiPriority w:val="0"/>
    <w:rPr>
      <w:rFonts w:ascii="Courier New" w:hAnsi="Courier New"/>
    </w:rPr>
  </w:style>
  <w:style w:type="paragraph" w:customStyle="1" w:styleId="48">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49">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50">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51">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5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53">
    <w:name w:val="标准书眉_偶数页"/>
    <w:basedOn w:val="52"/>
    <w:next w:val="1"/>
    <w:qFormat/>
    <w:uiPriority w:val="0"/>
    <w:pPr>
      <w:jc w:val="left"/>
    </w:p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56">
    <w:name w:val="参考文献、索引标题"/>
    <w:basedOn w:val="55"/>
    <w:next w:val="1"/>
    <w:qFormat/>
    <w:uiPriority w:val="0"/>
    <w:pPr>
      <w:numPr>
        <w:numId w:val="0"/>
      </w:numPr>
      <w:spacing w:after="200"/>
    </w:pPr>
    <w:rPr>
      <w:sz w:val="21"/>
    </w:rPr>
  </w:style>
  <w:style w:type="paragraph" w:customStyle="1" w:styleId="57">
    <w:name w:val="段"/>
    <w:link w:val="119"/>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章标题"/>
    <w:next w:val="57"/>
    <w:qFormat/>
    <w:uiPriority w:val="0"/>
    <w:pPr>
      <w:numPr>
        <w:ilvl w:val="1"/>
        <w:numId w:val="1"/>
      </w:numPr>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59">
    <w:name w:val="一级条标题"/>
    <w:next w:val="57"/>
    <w:link w:val="113"/>
    <w:qFormat/>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60">
    <w:name w:val="二级条标题"/>
    <w:basedOn w:val="59"/>
    <w:next w:val="57"/>
    <w:link w:val="116"/>
    <w:qFormat/>
    <w:uiPriority w:val="0"/>
    <w:pPr>
      <w:numPr>
        <w:ilvl w:val="3"/>
      </w:numPr>
      <w:outlineLvl w:val="3"/>
    </w:pPr>
  </w:style>
  <w:style w:type="character" w:customStyle="1" w:styleId="61">
    <w:name w:val="发布"/>
    <w:qFormat/>
    <w:uiPriority w:val="0"/>
    <w:rPr>
      <w:rFonts w:ascii="黑体" w:eastAsia="黑体"/>
      <w:spacing w:val="22"/>
      <w:w w:val="100"/>
      <w:position w:val="3"/>
      <w:sz w:val="28"/>
    </w:rPr>
  </w:style>
  <w:style w:type="paragraph" w:customStyle="1" w:styleId="62">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6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6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5">
    <w:name w:val="封面标准号2"/>
    <w:basedOn w:val="64"/>
    <w:qFormat/>
    <w:uiPriority w:val="0"/>
    <w:pPr>
      <w:framePr w:w="9138" w:h="1244" w:hRule="exact" w:wrap="auto" w:vAnchor="page" w:hAnchor="margin" w:y="2908"/>
      <w:adjustRightInd w:val="0"/>
      <w:spacing w:before="357" w:line="280" w:lineRule="exact"/>
    </w:pPr>
  </w:style>
  <w:style w:type="paragraph" w:customStyle="1" w:styleId="66">
    <w:name w:val="封面标准代替信息"/>
    <w:basedOn w:val="65"/>
    <w:qFormat/>
    <w:uiPriority w:val="0"/>
    <w:pPr>
      <w:spacing w:before="57"/>
    </w:pPr>
    <w:rPr>
      <w:rFonts w:ascii="宋体"/>
      <w:sz w:val="21"/>
    </w:rPr>
  </w:style>
  <w:style w:type="paragraph" w:customStyle="1" w:styleId="67">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68">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69">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70">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71">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72">
    <w:name w:val="封面正文"/>
    <w:qFormat/>
    <w:uiPriority w:val="0"/>
    <w:pPr>
      <w:jc w:val="both"/>
    </w:pPr>
    <w:rPr>
      <w:rFonts w:ascii="Times New Roman" w:hAnsi="Times New Roman" w:eastAsia="宋体" w:cs="Times New Roman"/>
      <w:lang w:val="en-US" w:eastAsia="zh-CN" w:bidi="ar-SA"/>
    </w:rPr>
  </w:style>
  <w:style w:type="paragraph" w:customStyle="1" w:styleId="73">
    <w:name w:val="附录标识"/>
    <w:basedOn w:val="55"/>
    <w:qFormat/>
    <w:uiPriority w:val="0"/>
    <w:pPr>
      <w:numPr>
        <w:numId w:val="0"/>
      </w:numPr>
      <w:tabs>
        <w:tab w:val="left" w:pos="760"/>
        <w:tab w:val="left" w:pos="6405"/>
      </w:tabs>
      <w:spacing w:after="200"/>
      <w:ind w:left="717" w:hanging="317"/>
    </w:pPr>
    <w:rPr>
      <w:sz w:val="21"/>
    </w:rPr>
  </w:style>
  <w:style w:type="paragraph" w:customStyle="1" w:styleId="74">
    <w:name w:val="附录表标题"/>
    <w:next w:val="57"/>
    <w:qFormat/>
    <w:uiPriority w:val="0"/>
    <w:pPr>
      <w:numPr>
        <w:ilvl w:val="0"/>
        <w:numId w:val="2"/>
      </w:numPr>
      <w:jc w:val="center"/>
      <w:textAlignment w:val="baseline"/>
    </w:pPr>
    <w:rPr>
      <w:rFonts w:ascii="黑体" w:hAnsi="Times New Roman" w:eastAsia="黑体" w:cs="Times New Roman"/>
      <w:kern w:val="21"/>
      <w:sz w:val="21"/>
      <w:lang w:val="en-US" w:eastAsia="zh-CN" w:bidi="ar-SA"/>
    </w:rPr>
  </w:style>
  <w:style w:type="paragraph" w:customStyle="1" w:styleId="75">
    <w:name w:val="附录章标题"/>
    <w:next w:val="57"/>
    <w:qFormat/>
    <w:uiPriority w:val="0"/>
    <w:pPr>
      <w:numPr>
        <w:ilvl w:val="1"/>
        <w:numId w:val="3"/>
      </w:num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76">
    <w:name w:val="附录一级条标题"/>
    <w:basedOn w:val="75"/>
    <w:next w:val="57"/>
    <w:qFormat/>
    <w:uiPriority w:val="0"/>
    <w:pPr>
      <w:numPr>
        <w:numId w:val="4"/>
      </w:numPr>
      <w:autoSpaceDN w:val="0"/>
      <w:spacing w:before="0" w:beforeLines="0" w:after="0" w:afterLines="0"/>
      <w:outlineLvl w:val="2"/>
    </w:pPr>
  </w:style>
  <w:style w:type="paragraph" w:customStyle="1" w:styleId="77">
    <w:name w:val="附录二级条标题"/>
    <w:basedOn w:val="76"/>
    <w:next w:val="57"/>
    <w:qFormat/>
    <w:uiPriority w:val="0"/>
    <w:pPr>
      <w:numPr>
        <w:ilvl w:val="2"/>
      </w:numPr>
      <w:outlineLvl w:val="3"/>
    </w:pPr>
  </w:style>
  <w:style w:type="paragraph" w:customStyle="1" w:styleId="78">
    <w:name w:val="附录三级条标题"/>
    <w:basedOn w:val="77"/>
    <w:next w:val="57"/>
    <w:qFormat/>
    <w:uiPriority w:val="0"/>
    <w:pPr>
      <w:numPr>
        <w:ilvl w:val="3"/>
      </w:numPr>
      <w:outlineLvl w:val="4"/>
    </w:pPr>
  </w:style>
  <w:style w:type="paragraph" w:customStyle="1" w:styleId="79">
    <w:name w:val="附录四级条标题"/>
    <w:basedOn w:val="78"/>
    <w:next w:val="57"/>
    <w:qFormat/>
    <w:uiPriority w:val="0"/>
    <w:pPr>
      <w:numPr>
        <w:ilvl w:val="4"/>
      </w:numPr>
      <w:outlineLvl w:val="5"/>
    </w:pPr>
  </w:style>
  <w:style w:type="paragraph" w:customStyle="1" w:styleId="80">
    <w:name w:val="附录图标题"/>
    <w:next w:val="57"/>
    <w:qFormat/>
    <w:uiPriority w:val="0"/>
    <w:pPr>
      <w:numPr>
        <w:ilvl w:val="0"/>
        <w:numId w:val="5"/>
      </w:numPr>
      <w:jc w:val="center"/>
    </w:pPr>
    <w:rPr>
      <w:rFonts w:ascii="黑体" w:hAnsi="Times New Roman" w:eastAsia="黑体" w:cs="Times New Roman"/>
      <w:sz w:val="21"/>
      <w:lang w:val="en-US" w:eastAsia="zh-CN" w:bidi="ar-SA"/>
    </w:rPr>
  </w:style>
  <w:style w:type="paragraph" w:customStyle="1" w:styleId="81">
    <w:name w:val="附录五级条标题"/>
    <w:basedOn w:val="79"/>
    <w:next w:val="57"/>
    <w:qFormat/>
    <w:uiPriority w:val="0"/>
    <w:pPr>
      <w:numPr>
        <w:ilvl w:val="6"/>
        <w:numId w:val="6"/>
      </w:numPr>
      <w:outlineLvl w:val="6"/>
    </w:pPr>
  </w:style>
  <w:style w:type="character" w:customStyle="1" w:styleId="82">
    <w:name w:val="个人答复风格"/>
    <w:qFormat/>
    <w:uiPriority w:val="0"/>
    <w:rPr>
      <w:rFonts w:ascii="Arial" w:hAnsi="Arial" w:eastAsia="宋体" w:cs="Arial"/>
      <w:color w:val="auto"/>
      <w:sz w:val="20"/>
    </w:rPr>
  </w:style>
  <w:style w:type="character" w:customStyle="1" w:styleId="83">
    <w:name w:val="个人撰写风格"/>
    <w:qFormat/>
    <w:uiPriority w:val="0"/>
    <w:rPr>
      <w:rFonts w:ascii="Arial" w:hAnsi="Arial" w:eastAsia="宋体" w:cs="Arial"/>
      <w:color w:val="auto"/>
      <w:sz w:val="20"/>
    </w:rPr>
  </w:style>
  <w:style w:type="paragraph" w:customStyle="1" w:styleId="84">
    <w:name w:val="列项——（一级）"/>
    <w:qFormat/>
    <w:uiPriority w:val="0"/>
    <w:pPr>
      <w:widowControl w:val="0"/>
      <w:numPr>
        <w:ilvl w:val="0"/>
        <w:numId w:val="7"/>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85">
    <w:name w:val="列项●（二级）"/>
    <w:qFormat/>
    <w:uiPriority w:val="0"/>
    <w:pPr>
      <w:numPr>
        <w:ilvl w:val="0"/>
        <w:numId w:val="8"/>
      </w:numPr>
      <w:tabs>
        <w:tab w:val="left" w:pos="840"/>
      </w:tabs>
      <w:ind w:left="600" w:leftChars="400" w:hanging="200" w:hangingChars="200"/>
      <w:jc w:val="both"/>
    </w:pPr>
    <w:rPr>
      <w:rFonts w:ascii="宋体" w:hAnsi="Times New Roman" w:eastAsia="宋体" w:cs="Times New Roman"/>
      <w:sz w:val="21"/>
      <w:lang w:val="en-US" w:eastAsia="zh-CN" w:bidi="ar-SA"/>
    </w:rPr>
  </w:style>
  <w:style w:type="paragraph" w:customStyle="1" w:styleId="86">
    <w:name w:val="目次、标准名称标题"/>
    <w:basedOn w:val="55"/>
    <w:next w:val="57"/>
    <w:qFormat/>
    <w:uiPriority w:val="0"/>
    <w:pPr>
      <w:numPr>
        <w:numId w:val="0"/>
      </w:numPr>
      <w:spacing w:line="460" w:lineRule="exact"/>
    </w:pPr>
  </w:style>
  <w:style w:type="paragraph" w:customStyle="1" w:styleId="8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88">
    <w:name w:val="目录 11"/>
    <w:qFormat/>
    <w:uiPriority w:val="39"/>
    <w:pPr>
      <w:jc w:val="both"/>
    </w:pPr>
    <w:rPr>
      <w:rFonts w:ascii="宋体" w:hAnsi="Times New Roman" w:eastAsia="宋体" w:cs="Times New Roman"/>
      <w:sz w:val="21"/>
      <w:lang w:val="en-US" w:eastAsia="zh-CN" w:bidi="ar-SA"/>
    </w:rPr>
  </w:style>
  <w:style w:type="paragraph" w:customStyle="1" w:styleId="89">
    <w:name w:val="目录 21"/>
    <w:basedOn w:val="88"/>
    <w:qFormat/>
    <w:uiPriority w:val="39"/>
  </w:style>
  <w:style w:type="paragraph" w:customStyle="1" w:styleId="90">
    <w:name w:val="目录 31"/>
    <w:basedOn w:val="89"/>
    <w:semiHidden/>
    <w:qFormat/>
    <w:uiPriority w:val="0"/>
  </w:style>
  <w:style w:type="paragraph" w:customStyle="1" w:styleId="91">
    <w:name w:val="目录 41"/>
    <w:basedOn w:val="90"/>
    <w:qFormat/>
    <w:uiPriority w:val="39"/>
  </w:style>
  <w:style w:type="paragraph" w:customStyle="1" w:styleId="92">
    <w:name w:val="目录 51"/>
    <w:basedOn w:val="91"/>
    <w:semiHidden/>
    <w:qFormat/>
    <w:uiPriority w:val="0"/>
  </w:style>
  <w:style w:type="paragraph" w:customStyle="1" w:styleId="93">
    <w:name w:val="目录 61"/>
    <w:basedOn w:val="92"/>
    <w:qFormat/>
    <w:uiPriority w:val="39"/>
    <w:pPr>
      <w:tabs>
        <w:tab w:val="left" w:pos="375"/>
        <w:tab w:val="left" w:pos="838"/>
        <w:tab w:val="right" w:leader="dot" w:pos="9345"/>
      </w:tabs>
      <w:ind w:firstLine="260" w:firstLineChars="124"/>
      <w:jc w:val="left"/>
    </w:pPr>
  </w:style>
  <w:style w:type="paragraph" w:customStyle="1" w:styleId="94">
    <w:name w:val="目录 71"/>
    <w:basedOn w:val="93"/>
    <w:semiHidden/>
    <w:qFormat/>
    <w:uiPriority w:val="0"/>
  </w:style>
  <w:style w:type="paragraph" w:customStyle="1" w:styleId="95">
    <w:name w:val="目录 81"/>
    <w:basedOn w:val="94"/>
    <w:semiHidden/>
    <w:qFormat/>
    <w:uiPriority w:val="0"/>
  </w:style>
  <w:style w:type="paragraph" w:customStyle="1" w:styleId="96">
    <w:name w:val="目录 91"/>
    <w:basedOn w:val="95"/>
    <w:semiHidden/>
    <w:qFormat/>
    <w:uiPriority w:val="0"/>
  </w:style>
  <w:style w:type="paragraph" w:customStyle="1" w:styleId="97">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98">
    <w:name w:val="其他发布部门"/>
    <w:basedOn w:val="62"/>
    <w:qFormat/>
    <w:uiPriority w:val="0"/>
    <w:pPr>
      <w:framePr w:wrap="around"/>
      <w:spacing w:line="0" w:lineRule="atLeast"/>
    </w:pPr>
    <w:rPr>
      <w:rFonts w:ascii="黑体" w:eastAsia="黑体"/>
      <w:b w:val="0"/>
    </w:rPr>
  </w:style>
  <w:style w:type="paragraph" w:customStyle="1" w:styleId="99">
    <w:name w:val="三级条标题"/>
    <w:basedOn w:val="60"/>
    <w:next w:val="57"/>
    <w:link w:val="117"/>
    <w:qFormat/>
    <w:uiPriority w:val="0"/>
    <w:pPr>
      <w:numPr>
        <w:ilvl w:val="4"/>
        <w:numId w:val="9"/>
      </w:numPr>
      <w:outlineLvl w:val="4"/>
    </w:pPr>
  </w:style>
  <w:style w:type="paragraph" w:customStyle="1" w:styleId="100">
    <w:name w:val="实施日期"/>
    <w:basedOn w:val="63"/>
    <w:qFormat/>
    <w:uiPriority w:val="0"/>
    <w:pPr>
      <w:framePr w:hSpace="0" w:wrap="around" w:xAlign="right"/>
      <w:jc w:val="right"/>
    </w:pPr>
  </w:style>
  <w:style w:type="paragraph" w:customStyle="1" w:styleId="101">
    <w:name w:val="示例"/>
    <w:next w:val="57"/>
    <w:qFormat/>
    <w:uiPriority w:val="0"/>
    <w:pPr>
      <w:numPr>
        <w:ilvl w:val="0"/>
        <w:numId w:val="10"/>
      </w:numPr>
      <w:tabs>
        <w:tab w:val="left" w:pos="816"/>
      </w:tabs>
      <w:ind w:firstLine="419" w:firstLineChars="233"/>
      <w:jc w:val="both"/>
    </w:pPr>
    <w:rPr>
      <w:rFonts w:ascii="宋体" w:hAnsi="Times New Roman" w:eastAsia="宋体" w:cs="Times New Roman"/>
      <w:sz w:val="18"/>
      <w:lang w:val="en-US" w:eastAsia="zh-CN" w:bidi="ar-SA"/>
    </w:rPr>
  </w:style>
  <w:style w:type="paragraph" w:customStyle="1" w:styleId="102">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3">
    <w:name w:val="四级条标题"/>
    <w:basedOn w:val="99"/>
    <w:next w:val="57"/>
    <w:qFormat/>
    <w:uiPriority w:val="0"/>
    <w:pPr>
      <w:numPr>
        <w:ilvl w:val="0"/>
        <w:numId w:val="3"/>
      </w:numPr>
      <w:tabs>
        <w:tab w:val="clear" w:pos="1120"/>
      </w:tabs>
      <w:ind w:firstLine="0"/>
      <w:outlineLvl w:val="5"/>
    </w:pPr>
  </w:style>
  <w:style w:type="paragraph" w:customStyle="1" w:styleId="104">
    <w:name w:val="条文脚注"/>
    <w:basedOn w:val="24"/>
    <w:qFormat/>
    <w:uiPriority w:val="0"/>
    <w:pPr>
      <w:ind w:left="780" w:leftChars="200" w:hanging="360" w:hangingChars="200"/>
      <w:jc w:val="both"/>
    </w:pPr>
    <w:rPr>
      <w:rFonts w:ascii="宋体"/>
    </w:rPr>
  </w:style>
  <w:style w:type="paragraph" w:customStyle="1" w:styleId="105">
    <w:name w:val="图表脚注"/>
    <w:next w:val="57"/>
    <w:qFormat/>
    <w:uiPriority w:val="0"/>
    <w:pPr>
      <w:numPr>
        <w:ilvl w:val="5"/>
        <w:numId w:val="1"/>
      </w:numPr>
      <w:jc w:val="both"/>
    </w:pPr>
    <w:rPr>
      <w:rFonts w:ascii="宋体" w:hAnsi="Times New Roman" w:eastAsia="宋体" w:cs="Times New Roman"/>
      <w:sz w:val="18"/>
      <w:lang w:val="en-US" w:eastAsia="zh-CN" w:bidi="ar-SA"/>
    </w:rPr>
  </w:style>
  <w:style w:type="paragraph" w:customStyle="1" w:styleId="10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07">
    <w:name w:val="五级条标题"/>
    <w:basedOn w:val="103"/>
    <w:next w:val="57"/>
    <w:qFormat/>
    <w:uiPriority w:val="0"/>
    <w:pPr>
      <w:numPr>
        <w:ilvl w:val="6"/>
        <w:numId w:val="11"/>
      </w:numPr>
      <w:outlineLvl w:val="6"/>
    </w:pPr>
  </w:style>
  <w:style w:type="paragraph" w:customStyle="1" w:styleId="108">
    <w:name w:val="正文表标题"/>
    <w:next w:val="57"/>
    <w:qFormat/>
    <w:uiPriority w:val="0"/>
    <w:pPr>
      <w:numPr>
        <w:ilvl w:val="0"/>
        <w:numId w:val="12"/>
      </w:numPr>
      <w:jc w:val="center"/>
    </w:pPr>
    <w:rPr>
      <w:rFonts w:ascii="黑体" w:hAnsi="Times New Roman" w:eastAsia="黑体" w:cs="Times New Roman"/>
      <w:sz w:val="21"/>
      <w:lang w:val="en-US" w:eastAsia="zh-CN" w:bidi="ar-SA"/>
    </w:rPr>
  </w:style>
  <w:style w:type="paragraph" w:customStyle="1" w:styleId="109">
    <w:name w:val="正文图标题"/>
    <w:next w:val="57"/>
    <w:qFormat/>
    <w:uiPriority w:val="0"/>
    <w:pPr>
      <w:numPr>
        <w:ilvl w:val="0"/>
        <w:numId w:val="13"/>
      </w:numPr>
      <w:jc w:val="center"/>
    </w:pPr>
    <w:rPr>
      <w:rFonts w:ascii="黑体" w:hAnsi="Times New Roman" w:eastAsia="黑体" w:cs="Times New Roman"/>
      <w:sz w:val="21"/>
      <w:lang w:val="en-US" w:eastAsia="zh-CN" w:bidi="ar-SA"/>
    </w:rPr>
  </w:style>
  <w:style w:type="paragraph" w:customStyle="1" w:styleId="110">
    <w:name w:val="注："/>
    <w:next w:val="57"/>
    <w:qFormat/>
    <w:uiPriority w:val="0"/>
    <w:pPr>
      <w:widowControl w:val="0"/>
      <w:numPr>
        <w:ilvl w:val="0"/>
        <w:numId w:val="14"/>
      </w:numPr>
      <w:autoSpaceDE w:val="0"/>
      <w:autoSpaceDN w:val="0"/>
      <w:jc w:val="both"/>
    </w:pPr>
    <w:rPr>
      <w:rFonts w:ascii="宋体" w:hAnsi="Times New Roman" w:eastAsia="宋体" w:cs="Times New Roman"/>
      <w:sz w:val="18"/>
      <w:lang w:val="en-US" w:eastAsia="zh-CN" w:bidi="ar-SA"/>
    </w:rPr>
  </w:style>
  <w:style w:type="paragraph" w:customStyle="1" w:styleId="111">
    <w:name w:val="注×："/>
    <w:qFormat/>
    <w:uiPriority w:val="0"/>
    <w:pPr>
      <w:widowControl w:val="0"/>
      <w:numPr>
        <w:ilvl w:val="0"/>
        <w:numId w:val="15"/>
      </w:numPr>
      <w:tabs>
        <w:tab w:val="left" w:pos="630"/>
      </w:tabs>
      <w:autoSpaceDE w:val="0"/>
      <w:autoSpaceDN w:val="0"/>
      <w:jc w:val="both"/>
    </w:pPr>
    <w:rPr>
      <w:rFonts w:ascii="宋体" w:hAnsi="Times New Roman" w:eastAsia="宋体" w:cs="Times New Roman"/>
      <w:sz w:val="18"/>
      <w:lang w:val="en-US" w:eastAsia="zh-CN" w:bidi="ar-SA"/>
    </w:rPr>
  </w:style>
  <w:style w:type="paragraph" w:customStyle="1" w:styleId="112">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character" w:customStyle="1" w:styleId="113">
    <w:name w:val="一级条标题 Char"/>
    <w:link w:val="59"/>
    <w:qFormat/>
    <w:uiPriority w:val="0"/>
    <w:rPr>
      <w:rFonts w:eastAsia="黑体"/>
      <w:sz w:val="21"/>
      <w:lang w:val="en-US" w:eastAsia="zh-CN" w:bidi="ar-SA"/>
    </w:rPr>
  </w:style>
  <w:style w:type="paragraph" w:customStyle="1" w:styleId="114">
    <w:name w:val="列项◆（三级）"/>
    <w:qFormat/>
    <w:uiPriority w:val="0"/>
    <w:pPr>
      <w:numPr>
        <w:ilvl w:val="0"/>
        <w:numId w:val="16"/>
      </w:numPr>
      <w:ind w:left="800" w:leftChars="600" w:hanging="200" w:hangingChars="200"/>
    </w:pPr>
    <w:rPr>
      <w:rFonts w:ascii="宋体" w:hAnsi="Times New Roman" w:eastAsia="宋体" w:cs="Times New Roman"/>
      <w:sz w:val="21"/>
      <w:lang w:val="en-US" w:eastAsia="zh-CN" w:bidi="ar-SA"/>
    </w:rPr>
  </w:style>
  <w:style w:type="paragraph" w:customStyle="1" w:styleId="115">
    <w:name w:val="编号列项（三级）"/>
    <w:qFormat/>
    <w:uiPriority w:val="0"/>
    <w:pPr>
      <w:numPr>
        <w:ilvl w:val="0"/>
        <w:numId w:val="17"/>
      </w:numPr>
      <w:tabs>
        <w:tab w:val="clear" w:pos="1140"/>
      </w:tabs>
      <w:ind w:left="800" w:leftChars="600" w:hanging="200" w:hangingChars="200"/>
    </w:pPr>
    <w:rPr>
      <w:rFonts w:ascii="宋体" w:hAnsi="Times New Roman" w:eastAsia="宋体" w:cs="Times New Roman"/>
      <w:sz w:val="21"/>
      <w:lang w:val="en-US" w:eastAsia="zh-CN" w:bidi="ar-SA"/>
    </w:rPr>
  </w:style>
  <w:style w:type="character" w:customStyle="1" w:styleId="116">
    <w:name w:val="二级条标题 Char"/>
    <w:basedOn w:val="113"/>
    <w:link w:val="60"/>
    <w:qFormat/>
    <w:uiPriority w:val="0"/>
    <w:rPr>
      <w:rFonts w:eastAsia="黑体"/>
      <w:sz w:val="21"/>
      <w:lang w:val="en-US" w:eastAsia="zh-CN" w:bidi="ar-SA"/>
    </w:rPr>
  </w:style>
  <w:style w:type="character" w:customStyle="1" w:styleId="117">
    <w:name w:val="三级条标题 Char"/>
    <w:basedOn w:val="116"/>
    <w:link w:val="99"/>
    <w:qFormat/>
    <w:uiPriority w:val="0"/>
    <w:rPr>
      <w:rFonts w:eastAsia="黑体"/>
      <w:sz w:val="21"/>
      <w:lang w:val="en-US" w:eastAsia="zh-CN" w:bidi="ar-SA"/>
    </w:rPr>
  </w:style>
  <w:style w:type="paragraph" w:customStyle="1" w:styleId="118">
    <w:name w:val="Char"/>
    <w:basedOn w:val="2"/>
    <w:qFormat/>
    <w:uiPriority w:val="0"/>
    <w:pPr>
      <w:snapToGrid w:val="0"/>
      <w:spacing w:before="240" w:after="240" w:line="348" w:lineRule="auto"/>
    </w:pPr>
    <w:rPr>
      <w:rFonts w:ascii="Tahoma" w:hAnsi="Tahoma"/>
      <w:bCs w:val="0"/>
      <w:kern w:val="2"/>
      <w:sz w:val="24"/>
      <w:szCs w:val="20"/>
    </w:rPr>
  </w:style>
  <w:style w:type="character" w:customStyle="1" w:styleId="119">
    <w:name w:val="段 Char"/>
    <w:link w:val="57"/>
    <w:qFormat/>
    <w:uiPriority w:val="0"/>
    <w:rPr>
      <w:rFonts w:ascii="宋体"/>
      <w:sz w:val="21"/>
      <w:lang w:val="en-US" w:eastAsia="zh-CN" w:bidi="ar-SA"/>
    </w:rPr>
  </w:style>
  <w:style w:type="character" w:customStyle="1" w:styleId="120">
    <w:name w:val="标题 1 字符"/>
    <w:link w:val="2"/>
    <w:qFormat/>
    <w:uiPriority w:val="9"/>
    <w:rPr>
      <w:b/>
      <w:bCs/>
      <w:kern w:val="44"/>
      <w:sz w:val="44"/>
      <w:szCs w:val="44"/>
    </w:rPr>
  </w:style>
  <w:style w:type="character" w:customStyle="1" w:styleId="121">
    <w:name w:val="页眉 字符"/>
    <w:link w:val="21"/>
    <w:qFormat/>
    <w:uiPriority w:val="99"/>
    <w:rPr>
      <w:kern w:val="2"/>
      <w:sz w:val="18"/>
      <w:szCs w:val="18"/>
    </w:rPr>
  </w:style>
  <w:style w:type="paragraph" w:customStyle="1" w:styleId="12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23">
    <w:name w:val="标题 3 字符"/>
    <w:link w:val="4"/>
    <w:qFormat/>
    <w:uiPriority w:val="9"/>
    <w:rPr>
      <w:b/>
      <w:bCs/>
      <w:kern w:val="2"/>
      <w:sz w:val="32"/>
      <w:szCs w:val="32"/>
    </w:rPr>
  </w:style>
  <w:style w:type="character" w:customStyle="1" w:styleId="124">
    <w:name w:val="标题 2 字符"/>
    <w:link w:val="3"/>
    <w:qFormat/>
    <w:uiPriority w:val="9"/>
    <w:rPr>
      <w:rFonts w:ascii="Arial" w:hAnsi="Arial" w:eastAsia="黑体"/>
      <w:b/>
      <w:bCs/>
      <w:kern w:val="2"/>
      <w:sz w:val="32"/>
      <w:szCs w:val="32"/>
    </w:rPr>
  </w:style>
  <w:style w:type="paragraph" w:styleId="125">
    <w:name w:val="List Paragraph"/>
    <w:basedOn w:val="1"/>
    <w:qFormat/>
    <w:uiPriority w:val="34"/>
    <w:pPr>
      <w:ind w:firstLine="420" w:firstLineChars="200"/>
    </w:pPr>
  </w:style>
  <w:style w:type="character" w:customStyle="1" w:styleId="126">
    <w:name w:val="页脚 字符"/>
    <w:basedOn w:val="34"/>
    <w:link w:val="20"/>
    <w:qFormat/>
    <w:uiPriority w:val="99"/>
    <w:rPr>
      <w:kern w:val="2"/>
      <w:sz w:val="18"/>
      <w:szCs w:val="18"/>
    </w:rPr>
  </w:style>
  <w:style w:type="character" w:customStyle="1" w:styleId="127">
    <w:name w:val="未处理的提及1"/>
    <w:basedOn w:val="34"/>
    <w:semiHidden/>
    <w:unhideWhenUsed/>
    <w:qFormat/>
    <w:uiPriority w:val="99"/>
    <w:rPr>
      <w:color w:val="605E5C"/>
      <w:shd w:val="clear" w:color="auto" w:fill="E1DFDD"/>
    </w:rPr>
  </w:style>
  <w:style w:type="character" w:customStyle="1" w:styleId="128">
    <w:name w:val="标题 1 Char"/>
    <w:qFormat/>
    <w:uiPriority w:val="9"/>
    <w:rPr>
      <w:b/>
      <w:bCs/>
      <w:kern w:val="44"/>
      <w:sz w:val="44"/>
      <w:szCs w:val="44"/>
    </w:rPr>
  </w:style>
  <w:style w:type="paragraph" w:customStyle="1" w:styleId="129">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130">
    <w:name w:val="批注文字 字符"/>
    <w:basedOn w:val="34"/>
    <w:link w:val="13"/>
    <w:qFormat/>
    <w:uiPriority w:val="0"/>
    <w:rPr>
      <w:kern w:val="2"/>
      <w:sz w:val="21"/>
      <w:szCs w:val="24"/>
    </w:rPr>
  </w:style>
  <w:style w:type="character" w:customStyle="1" w:styleId="131">
    <w:name w:val="批注主题 字符"/>
    <w:basedOn w:val="130"/>
    <w:link w:val="31"/>
    <w:qFormat/>
    <w:uiPriority w:val="0"/>
    <w:rPr>
      <w:b/>
      <w:bCs/>
      <w:kern w:val="2"/>
      <w:sz w:val="21"/>
      <w:szCs w:val="24"/>
    </w:rPr>
  </w:style>
  <w:style w:type="character" w:customStyle="1" w:styleId="132">
    <w:name w:val="font01"/>
    <w:basedOn w:val="34"/>
    <w:qFormat/>
    <w:uiPriority w:val="0"/>
    <w:rPr>
      <w:rFonts w:hint="eastAsia" w:ascii="宋体" w:hAnsi="宋体" w:eastAsia="宋体" w:cs="宋体"/>
      <w:color w:val="000000"/>
      <w:sz w:val="22"/>
      <w:szCs w:val="22"/>
      <w:u w:val="none"/>
    </w:rPr>
  </w:style>
  <w:style w:type="character" w:customStyle="1" w:styleId="133">
    <w:name w:val="font11"/>
    <w:basedOn w:val="34"/>
    <w:qFormat/>
    <w:uiPriority w:val="0"/>
    <w:rPr>
      <w:rFonts w:hint="default" w:ascii="Times New Roman" w:hAnsi="Times New Roman" w:cs="Times New Roman"/>
      <w:color w:val="000000"/>
      <w:sz w:val="22"/>
      <w:szCs w:val="22"/>
      <w:u w:val="none"/>
    </w:rPr>
  </w:style>
  <w:style w:type="paragraph" w:customStyle="1" w:styleId="134">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135">
    <w:name w:val="标准文件_一级无标题"/>
    <w:basedOn w:val="136"/>
    <w:qFormat/>
    <w:uiPriority w:val="0"/>
    <w:pPr>
      <w:spacing w:beforeLines="0" w:afterLines="0"/>
      <w:outlineLvl w:val="9"/>
    </w:pPr>
    <w:rPr>
      <w:rFonts w:ascii="宋体" w:eastAsia="宋体"/>
    </w:rPr>
  </w:style>
  <w:style w:type="paragraph" w:customStyle="1" w:styleId="136">
    <w:name w:val="标准文件_一级条标题"/>
    <w:basedOn w:val="137"/>
    <w:next w:val="1"/>
    <w:qFormat/>
    <w:uiPriority w:val="0"/>
    <w:pPr>
      <w:spacing w:beforeLines="50" w:afterLines="50"/>
      <w:ind w:left="105"/>
      <w:outlineLvl w:val="1"/>
    </w:pPr>
  </w:style>
  <w:style w:type="paragraph" w:customStyle="1" w:styleId="137">
    <w:name w:val="标准文件_章标题"/>
    <w:next w:val="1"/>
    <w:qFormat/>
    <w:uiPriority w:val="0"/>
    <w:pPr>
      <w:spacing w:beforeLines="100" w:afterLines="100"/>
      <w:ind w:left="3465"/>
      <w:jc w:val="both"/>
      <w:outlineLvl w:val="0"/>
    </w:pPr>
    <w:rPr>
      <w:rFonts w:ascii="黑体" w:hAnsi="Times New Roman" w:eastAsia="黑体" w:cs="Times New Roman"/>
      <w:sz w:val="21"/>
      <w:lang w:val="en-US" w:eastAsia="zh-CN" w:bidi="ar-SA"/>
    </w:rPr>
  </w:style>
  <w:style w:type="paragraph" w:customStyle="1" w:styleId="13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9">
    <w:name w:val="标准文件_三级条标题"/>
    <w:basedOn w:val="140"/>
    <w:next w:val="1"/>
    <w:qFormat/>
    <w:uiPriority w:val="0"/>
    <w:pPr>
      <w:widowControl/>
      <w:outlineLvl w:val="3"/>
    </w:pPr>
  </w:style>
  <w:style w:type="paragraph" w:customStyle="1" w:styleId="140">
    <w:name w:val="标准文件_二级条标题"/>
    <w:next w:val="1"/>
    <w:qFormat/>
    <w:uiPriority w:val="0"/>
    <w:pPr>
      <w:widowControl w:val="0"/>
      <w:spacing w:beforeLines="50" w:afterLines="50"/>
      <w:jc w:val="both"/>
      <w:outlineLvl w:val="2"/>
    </w:pPr>
    <w:rPr>
      <w:rFonts w:ascii="黑体" w:hAnsi="Times New Roman" w:eastAsia="黑体" w:cs="Times New Roman"/>
      <w:sz w:val="21"/>
      <w:lang w:val="en-US" w:eastAsia="zh-CN" w:bidi="ar-SA"/>
    </w:rPr>
  </w:style>
  <w:style w:type="paragraph" w:customStyle="1" w:styleId="141">
    <w:name w:val="zw"/>
    <w:basedOn w:val="1"/>
    <w:qFormat/>
    <w:uiPriority w:val="0"/>
    <w:pPr>
      <w:spacing w:before="50" w:beforeLines="50" w:after="50" w:afterLines="50" w:line="312"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DS%202.0\tds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E02564-5C40-44CD-9DAA-A41D21A68018}">
  <ds:schemaRefs/>
</ds:datastoreItem>
</file>

<file path=docProps/app.xml><?xml version="1.0" encoding="utf-8"?>
<Properties xmlns="http://schemas.openxmlformats.org/officeDocument/2006/extended-properties" xmlns:vt="http://schemas.openxmlformats.org/officeDocument/2006/docPropsVTypes">
  <Template>tds2.dot</Template>
  <Company>CNIS</Company>
  <Pages>13</Pages>
  <Words>5521</Words>
  <Characters>6671</Characters>
  <Lines>77</Lines>
  <Paragraphs>21</Paragraphs>
  <TotalTime>2</TotalTime>
  <ScaleCrop>false</ScaleCrop>
  <LinksUpToDate>false</LinksUpToDate>
  <CharactersWithSpaces>7043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2025-05-28T09:50:00Z</dcterms:created>
  <dc:creator>Administrator</dc:creator>
  <cp:lastModifiedBy>Z</cp:lastModifiedBy>
  <cp:lastPrinted>2018-11-16T06:17:00Z</cp:lastPrinted>
  <dcterms:modified xsi:type="dcterms:W3CDTF">2026-09-28T01:29:40Z</dcterms:modified>
  <dc:title>再生水灌溉技术规范</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DS属性">
    <vt:lpwstr>TDS 2.0 Document</vt:lpwstr>
  </property>
  <property fmtid="{D5CDD505-2E9C-101B-9397-08002B2CF9AE}" pid="3" name="KSOProductBuildVer">
    <vt:lpwstr>2052-12.1.0.28505</vt:lpwstr>
  </property>
  <property fmtid="{D5CDD505-2E9C-101B-9397-08002B2CF9AE}" pid="4" name="ICV">
    <vt:lpwstr>ACBA6909F549423A9932183EB96FC7D5_13</vt:lpwstr>
  </property>
  <property fmtid="{D5CDD505-2E9C-101B-9397-08002B2CF9AE}" pid="5" name="KSOTemplateDocerSaveRecord">
    <vt:lpwstr>eyJoZGlkIjoiYjQwYzgxNDlmMzU3OGMxMjJmMzRiNDc4NDUxZmRiYmIiLCJ1c2VySWQiOiI5NjA0NDU2MTQifQ==</vt:lpwstr>
  </property>
</Properties>
</file>