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2A6B7"/>
    <w:tbl>
      <w:tblPr>
        <w:tblStyle w:val="20"/>
        <w:tblW w:w="9784" w:type="dxa"/>
        <w:tblInd w:w="-137" w:type="dxa"/>
        <w:tblBorders>
          <w:top w:val="single" w:color="1F497D" w:sz="4" w:space="0"/>
          <w:left w:val="single" w:color="1F497D" w:sz="4" w:space="0"/>
          <w:bottom w:val="single" w:color="1F497D" w:sz="4" w:space="0"/>
          <w:right w:val="single" w:color="1F497D" w:sz="4" w:space="0"/>
          <w:insideH w:val="single" w:color="1F497D" w:sz="4" w:space="0"/>
          <w:insideV w:val="single" w:color="1F497D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0"/>
        <w:gridCol w:w="6844"/>
      </w:tblGrid>
      <w:tr w14:paraId="1140517D">
        <w:tblPrEx>
          <w:tblBorders>
            <w:top w:val="single" w:color="1F497D" w:sz="4" w:space="0"/>
            <w:left w:val="single" w:color="1F497D" w:sz="4" w:space="0"/>
            <w:bottom w:val="single" w:color="1F497D" w:sz="4" w:space="0"/>
            <w:right w:val="single" w:color="1F497D" w:sz="4" w:space="0"/>
            <w:insideH w:val="single" w:color="1F497D" w:sz="4" w:space="0"/>
            <w:insideV w:val="single" w:color="1F497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14" w:hRule="exact"/>
        </w:trPr>
        <w:tc>
          <w:tcPr>
            <w:tcW w:w="294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14:paraId="4E54430B">
            <w:pPr>
              <w:jc w:val="left"/>
              <w:textAlignment w:val="center"/>
              <w:rPr>
                <w:rFonts w:eastAsia="黑体"/>
                <w:color w:val="000000"/>
                <w:szCs w:val="21"/>
              </w:rPr>
            </w:pPr>
            <w:bookmarkStart w:id="0" w:name="封面"/>
            <w:bookmarkEnd w:id="0"/>
            <w:bookmarkStart w:id="1" w:name="_Toc142290763"/>
          </w:p>
        </w:tc>
        <w:tc>
          <w:tcPr>
            <w:tcW w:w="684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center"/>
          </w:tcPr>
          <w:p w14:paraId="5FD6B64D">
            <w:pPr>
              <w:spacing w:line="360" w:lineRule="auto"/>
              <w:jc w:val="center"/>
              <w:rPr>
                <w:color w:val="000000"/>
                <w:sz w:val="144"/>
                <w:szCs w:val="144"/>
              </w:rPr>
            </w:pPr>
            <w:r>
              <w:rPr>
                <w:b/>
                <w:color w:val="000000"/>
                <w:spacing w:val="-40"/>
                <w:sz w:val="14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-1387475</wp:posOffset>
                      </wp:positionH>
                      <wp:positionV relativeFrom="paragraph">
                        <wp:posOffset>774065</wp:posOffset>
                      </wp:positionV>
                      <wp:extent cx="5207000" cy="914400"/>
                      <wp:effectExtent l="0" t="0" r="0" b="0"/>
                      <wp:wrapNone/>
                      <wp:docPr id="322991709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070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09F595">
                                  <w:pPr>
                                    <w:jc w:val="distribute"/>
                                    <w:rPr>
                                      <w:rFonts w:hint="eastAsia" w:ascii="黑体" w:hAnsi="黑体" w:eastAsia="黑体"/>
                                      <w:color w:val="000000" w:themeColor="text1"/>
                                      <w:sz w:val="72"/>
                                      <w:szCs w:val="72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color w:val="000000" w:themeColor="text1"/>
                                      <w:sz w:val="72"/>
                                      <w:szCs w:val="72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团体标准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3" o:spid="_x0000_s1026" o:spt="1" style="position:absolute;left:0pt;margin-left:-109.25pt;margin-top:60.95pt;height:72pt;width:410pt;z-index:251664384;v-text-anchor:middle;mso-width-relative:page;mso-height-relative:page;" filled="f" stroked="f" coordsize="21600,21600" o:gfxdata="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cbSYx2QAAAAwBAAAPAAAAAAAAAAEAIAAAACIAAABkcnMvZG93bnJldi54bWxQSwECFAAU&#10;AAAACACHTuJAJqb52mICAAC1BAAADgAAAAAAAAABACAAAAAoAQAAZHJzL2Uyb0RvYy54bWxQSwUG&#10;AAAAAAYABgBZAQAA/AUAAAAA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 w14:paraId="2F09F595">
                            <w:pPr>
                              <w:jc w:val="distribute"/>
                              <w:rPr>
                                <w:rFonts w:hint="eastAsia" w:ascii="黑体" w:hAnsi="黑体" w:eastAsia="黑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000000" w:themeColor="text1"/>
                                <w:sz w:val="72"/>
                                <w:szCs w:val="7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团体标准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color w:val="000000"/>
                <w:spacing w:val="-40"/>
                <w:w w:val="110"/>
                <w:sz w:val="144"/>
              </w:rPr>
              <w:t xml:space="preserve">       </w:t>
            </w:r>
          </w:p>
        </w:tc>
      </w:tr>
      <w:tr w14:paraId="77A7BD9D">
        <w:tblPrEx>
          <w:tblBorders>
            <w:top w:val="single" w:color="1F497D" w:sz="4" w:space="0"/>
            <w:left w:val="single" w:color="1F497D" w:sz="4" w:space="0"/>
            <w:bottom w:val="single" w:color="1F497D" w:sz="4" w:space="0"/>
            <w:right w:val="single" w:color="1F497D" w:sz="4" w:space="0"/>
            <w:insideH w:val="single" w:color="1F497D" w:sz="4" w:space="0"/>
            <w:insideV w:val="single" w:color="1F497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9784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14:paraId="55E35AF1">
            <w:pPr>
              <w:widowControl/>
              <w:spacing w:line="360" w:lineRule="auto"/>
              <w:ind w:right="118" w:rightChars="56"/>
              <w:jc w:val="distribute"/>
              <w:rPr>
                <w:rFonts w:eastAsia="方正大标宋简体"/>
                <w:b/>
                <w:color w:val="000000"/>
                <w:spacing w:val="-40"/>
                <w:sz w:val="48"/>
                <w:szCs w:val="48"/>
              </w:rPr>
            </w:pPr>
            <w:r>
              <w:rPr>
                <w:rFonts w:eastAsia="方正大标宋简体"/>
                <w:b/>
                <w:color w:val="000000"/>
                <w:spacing w:val="-40"/>
                <w:sz w:val="48"/>
                <w:szCs w:val="48"/>
              </w:rPr>
              <w:t xml:space="preserve">                        </w:t>
            </w:r>
          </w:p>
        </w:tc>
      </w:tr>
      <w:tr w14:paraId="4E596683">
        <w:tblPrEx>
          <w:tblBorders>
            <w:top w:val="single" w:color="1F497D" w:sz="4" w:space="0"/>
            <w:left w:val="single" w:color="1F497D" w:sz="4" w:space="0"/>
            <w:bottom w:val="single" w:color="1F497D" w:sz="4" w:space="0"/>
            <w:right w:val="single" w:color="1F497D" w:sz="4" w:space="0"/>
            <w:insideH w:val="single" w:color="1F497D" w:sz="4" w:space="0"/>
            <w:insideV w:val="single" w:color="1F497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4" w:hRule="exact"/>
        </w:trPr>
        <w:tc>
          <w:tcPr>
            <w:tcW w:w="9784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bottom"/>
          </w:tcPr>
          <w:p w14:paraId="05179450">
            <w:pPr>
              <w:spacing w:line="240" w:lineRule="exact"/>
              <w:jc w:val="center"/>
              <w:rPr>
                <w:rFonts w:eastAsia="黑体"/>
                <w:sz w:val="28"/>
                <w:szCs w:val="28"/>
              </w:rPr>
            </w:pPr>
            <w:bookmarkStart w:id="2" w:name="fm_标准编号"/>
            <w:bookmarkEnd w:id="2"/>
            <w:r>
              <w:rPr>
                <w:rFonts w:eastAsia="黑体"/>
                <w:sz w:val="28"/>
                <w:szCs w:val="28"/>
              </w:rPr>
              <w:t xml:space="preserve">                                           </w:t>
            </w:r>
          </w:p>
          <w:p w14:paraId="43E91C60">
            <w:pPr>
              <w:spacing w:line="240" w:lineRule="exact"/>
              <w:jc w:val="center"/>
              <w:rPr>
                <w:b/>
                <w:color w:val="000000"/>
                <w:szCs w:val="21"/>
              </w:rPr>
            </w:pPr>
            <w:r>
              <w:rPr>
                <w:rFonts w:eastAsia="黑体"/>
                <w:sz w:val="28"/>
                <w:szCs w:val="28"/>
              </w:rPr>
              <w:t xml:space="preserve">                                               </w:t>
            </w:r>
            <w:r>
              <w:rPr>
                <w:rFonts w:eastAsia="黑体"/>
                <w:sz w:val="24"/>
              </w:rPr>
              <w:t xml:space="preserve"> </w:t>
            </w:r>
          </w:p>
        </w:tc>
      </w:tr>
      <w:tr w14:paraId="4E11512A">
        <w:tblPrEx>
          <w:tblBorders>
            <w:top w:val="single" w:color="1F497D" w:sz="4" w:space="0"/>
            <w:left w:val="single" w:color="1F497D" w:sz="4" w:space="0"/>
            <w:bottom w:val="single" w:color="1F497D" w:sz="4" w:space="0"/>
            <w:right w:val="single" w:color="1F497D" w:sz="4" w:space="0"/>
            <w:insideH w:val="single" w:color="1F497D" w:sz="4" w:space="0"/>
            <w:insideV w:val="single" w:color="1F497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 w:hRule="exact"/>
        </w:trPr>
        <w:tc>
          <w:tcPr>
            <w:tcW w:w="9784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14:paraId="0278510C">
            <w:pPr>
              <w:spacing w:line="240" w:lineRule="exact"/>
              <w:jc w:val="left"/>
              <w:rPr>
                <w:rFonts w:eastAsia="黑体"/>
                <w:sz w:val="28"/>
                <w:szCs w:val="28"/>
              </w:rPr>
            </w:pPr>
            <w:r>
              <w:rPr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49530</wp:posOffset>
                      </wp:positionV>
                      <wp:extent cx="6120130" cy="0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20130" cy="0"/>
                              </a:xfrm>
                              <a:prstGeom prst="lin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0.9pt;margin-top:3.9pt;height:0pt;width:481.9pt;z-index:251659264;mso-width-relative:page;mso-height-relative:page;" filled="f" stroked="t" coordsize="21600,21600" o:gfxdata="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DfczWtQAAAAGAQAADwAAAAAAAAABACAAAAAiAAAAZHJzL2Rvd25yZXYueG1sUEsBAhQAFAAAAAgA&#10;h07iQOTNiSPwAQAA4wMAAA4AAAAAAAAAAQAgAAAAIwEAAGRycy9lMm9Eb2MueG1sUEsFBgAAAAAG&#10;AAYAWQEAAIUFAAAAAA==&#10;">
                      <v:fill on="f" focussize="0,0"/>
                      <v:stroke weight="1.5pt"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14:paraId="39F919F9">
        <w:tblPrEx>
          <w:tblBorders>
            <w:top w:val="single" w:color="1F497D" w:sz="4" w:space="0"/>
            <w:left w:val="single" w:color="1F497D" w:sz="4" w:space="0"/>
            <w:bottom w:val="single" w:color="1F497D" w:sz="4" w:space="0"/>
            <w:right w:val="single" w:color="1F497D" w:sz="4" w:space="0"/>
            <w:insideH w:val="single" w:color="1F497D" w:sz="4" w:space="0"/>
            <w:insideV w:val="single" w:color="1F497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58" w:hRule="atLeast"/>
        </w:trPr>
        <w:tc>
          <w:tcPr>
            <w:tcW w:w="9784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14:paraId="50574384">
            <w:pPr>
              <w:pStyle w:val="31"/>
              <w:widowControl w:val="0"/>
              <w:numPr>
                <w:ilvl w:val="0"/>
                <w:numId w:val="0"/>
              </w:numPr>
              <w:tabs>
                <w:tab w:val="left" w:pos="5792"/>
              </w:tabs>
              <w:spacing w:before="120" w:after="120" w:line="230" w:lineRule="exact"/>
              <w:outlineLvl w:val="9"/>
              <w:rPr>
                <w:rFonts w:ascii="Times New Roman" w:eastAsia="宋体"/>
                <w:color w:val="000000"/>
                <w:kern w:val="2"/>
                <w:sz w:val="11"/>
                <w:szCs w:val="11"/>
              </w:rPr>
            </w:pPr>
          </w:p>
          <w:p w14:paraId="13D1D20C">
            <w:pPr>
              <w:pStyle w:val="61"/>
              <w:spacing w:line="230" w:lineRule="exact"/>
              <w:rPr>
                <w:rFonts w:ascii="Times New Roman"/>
                <w:sz w:val="11"/>
                <w:szCs w:val="11"/>
              </w:rPr>
            </w:pPr>
          </w:p>
          <w:p w14:paraId="3C153C01">
            <w:pPr>
              <w:pStyle w:val="61"/>
              <w:spacing w:line="230" w:lineRule="exact"/>
              <w:rPr>
                <w:rFonts w:ascii="Times New Roman"/>
                <w:sz w:val="11"/>
                <w:szCs w:val="11"/>
              </w:rPr>
            </w:pPr>
          </w:p>
          <w:p w14:paraId="40D09ED3">
            <w:pPr>
              <w:pStyle w:val="61"/>
              <w:spacing w:line="230" w:lineRule="exact"/>
              <w:rPr>
                <w:rFonts w:ascii="Times New Roman"/>
                <w:sz w:val="11"/>
                <w:szCs w:val="11"/>
              </w:rPr>
            </w:pPr>
          </w:p>
          <w:p w14:paraId="39385228">
            <w:pPr>
              <w:pStyle w:val="61"/>
              <w:spacing w:line="230" w:lineRule="exact"/>
              <w:rPr>
                <w:rFonts w:ascii="Times New Roman"/>
                <w:sz w:val="11"/>
                <w:szCs w:val="11"/>
              </w:rPr>
            </w:pPr>
            <w:bookmarkStart w:id="57" w:name="_GoBack"/>
            <w:bookmarkEnd w:id="57"/>
          </w:p>
          <w:p w14:paraId="629FDC50">
            <w:pPr>
              <w:pStyle w:val="61"/>
              <w:spacing w:line="230" w:lineRule="exact"/>
              <w:rPr>
                <w:rFonts w:ascii="Times New Roman"/>
                <w:sz w:val="11"/>
                <w:szCs w:val="11"/>
              </w:rPr>
            </w:pPr>
          </w:p>
          <w:p w14:paraId="5BB0C784">
            <w:pPr>
              <w:pStyle w:val="61"/>
              <w:spacing w:line="230" w:lineRule="exact"/>
              <w:rPr>
                <w:rFonts w:ascii="Times New Roman"/>
                <w:sz w:val="11"/>
                <w:szCs w:val="11"/>
              </w:rPr>
            </w:pPr>
          </w:p>
          <w:p w14:paraId="03123AFD">
            <w:pPr>
              <w:pStyle w:val="61"/>
              <w:spacing w:line="230" w:lineRule="exact"/>
              <w:ind w:firstLine="0"/>
              <w:rPr>
                <w:rFonts w:ascii="Times New Roman"/>
                <w:sz w:val="11"/>
                <w:szCs w:val="11"/>
              </w:rPr>
            </w:pPr>
          </w:p>
          <w:p w14:paraId="1C099F17">
            <w:pPr>
              <w:pStyle w:val="61"/>
              <w:spacing w:line="230" w:lineRule="exact"/>
              <w:rPr>
                <w:rFonts w:ascii="Times New Roman"/>
                <w:sz w:val="11"/>
                <w:szCs w:val="11"/>
              </w:rPr>
            </w:pPr>
          </w:p>
          <w:p w14:paraId="124D9FE8">
            <w:pPr>
              <w:pStyle w:val="61"/>
              <w:spacing w:line="230" w:lineRule="exact"/>
              <w:rPr>
                <w:rFonts w:ascii="Times New Roman"/>
                <w:sz w:val="11"/>
                <w:szCs w:val="11"/>
              </w:rPr>
            </w:pPr>
          </w:p>
          <w:p w14:paraId="5008129B">
            <w:pPr>
              <w:pStyle w:val="41"/>
              <w:framePr w:w="0" w:hRule="auto" w:wrap="auto" w:vAnchor="margin" w:hAnchor="text" w:xAlign="left" w:yAlign="inline"/>
              <w:rPr>
                <w:rFonts w:ascii="Times New Roman"/>
                <w:sz w:val="56"/>
                <w:szCs w:val="21"/>
              </w:rPr>
            </w:pPr>
            <w:r>
              <w:rPr>
                <w:rFonts w:hint="eastAsia" w:ascii="Times New Roman"/>
                <w:sz w:val="56"/>
                <w:szCs w:val="21"/>
              </w:rPr>
              <w:t>黄土高原旱地玉米地膜覆盖集雨种植</w:t>
            </w:r>
          </w:p>
          <w:p w14:paraId="4D5F6B69">
            <w:pPr>
              <w:pStyle w:val="41"/>
              <w:framePr w:w="0" w:hRule="auto" w:wrap="auto" w:vAnchor="margin" w:hAnchor="text" w:xAlign="left" w:yAlign="inline"/>
              <w:rPr>
                <w:rFonts w:ascii="Times New Roman"/>
                <w:sz w:val="56"/>
                <w:szCs w:val="21"/>
              </w:rPr>
            </w:pPr>
            <w:r>
              <w:rPr>
                <w:rFonts w:hint="eastAsia" w:ascii="Times New Roman"/>
                <w:sz w:val="56"/>
                <w:szCs w:val="21"/>
              </w:rPr>
              <w:t>技术规程</w:t>
            </w:r>
          </w:p>
          <w:p w14:paraId="017FB5CF">
            <w:pPr>
              <w:pStyle w:val="61"/>
              <w:spacing w:before="120" w:beforeLines="50" w:line="500" w:lineRule="exact"/>
              <w:jc w:val="center"/>
              <w:rPr>
                <w:rFonts w:hint="eastAsia" w:ascii="Times New Roman" w:eastAsia="黑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eastAsia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eastAsia="黑体"/>
                <w:sz w:val="28"/>
                <w:szCs w:val="28"/>
                <w:lang w:val="en-US" w:eastAsia="zh-CN"/>
              </w:rPr>
              <w:t>征求意见稿</w:t>
            </w:r>
            <w:r>
              <w:rPr>
                <w:rFonts w:hint="eastAsia" w:ascii="Times New Roman" w:eastAsia="黑体"/>
                <w:sz w:val="28"/>
                <w:szCs w:val="28"/>
                <w:lang w:eastAsia="zh-CN"/>
              </w:rPr>
              <w:t>）</w:t>
            </w:r>
          </w:p>
        </w:tc>
      </w:tr>
      <w:tr w14:paraId="7F5A1F93">
        <w:tblPrEx>
          <w:tblBorders>
            <w:top w:val="single" w:color="1F497D" w:sz="4" w:space="0"/>
            <w:left w:val="single" w:color="1F497D" w:sz="4" w:space="0"/>
            <w:bottom w:val="single" w:color="1F497D" w:sz="4" w:space="0"/>
            <w:right w:val="single" w:color="1F497D" w:sz="4" w:space="0"/>
            <w:insideH w:val="single" w:color="1F497D" w:sz="4" w:space="0"/>
            <w:insideV w:val="single" w:color="1F497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exact"/>
        </w:trPr>
        <w:tc>
          <w:tcPr>
            <w:tcW w:w="9784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vAlign w:val="center"/>
          </w:tcPr>
          <w:p w14:paraId="32EAB739">
            <w:pPr>
              <w:spacing w:line="360" w:lineRule="auto"/>
              <w:ind w:right="-153" w:rightChars="-73"/>
              <w:jc w:val="center"/>
              <w:rPr>
                <w:rFonts w:eastAsia="黑体"/>
                <w:color w:val="000000"/>
                <w:sz w:val="52"/>
              </w:rPr>
            </w:pPr>
            <w:bookmarkStart w:id="3" w:name="fm_标准名称"/>
            <w:bookmarkEnd w:id="3"/>
          </w:p>
        </w:tc>
      </w:tr>
      <w:tr w14:paraId="22AA0F63">
        <w:tblPrEx>
          <w:tblBorders>
            <w:top w:val="single" w:color="1F497D" w:sz="4" w:space="0"/>
            <w:left w:val="single" w:color="1F497D" w:sz="4" w:space="0"/>
            <w:bottom w:val="single" w:color="1F497D" w:sz="4" w:space="0"/>
            <w:right w:val="single" w:color="1F497D" w:sz="4" w:space="0"/>
            <w:insideH w:val="single" w:color="1F497D" w:sz="4" w:space="0"/>
            <w:insideV w:val="single" w:color="1F497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5" w:hRule="atLeast"/>
        </w:trPr>
        <w:tc>
          <w:tcPr>
            <w:tcW w:w="9784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</w:tcPr>
          <w:p w14:paraId="1359953B">
            <w:pPr>
              <w:spacing w:line="360" w:lineRule="auto"/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</w:tr>
    </w:tbl>
    <w:p w14:paraId="6A239333">
      <w:pPr>
        <w:spacing w:line="360" w:lineRule="auto"/>
        <w:rPr>
          <w:color w:val="000000"/>
        </w:rPr>
      </w:pPr>
      <w:r>
        <w:rPr>
          <w:color w:val="000000"/>
        </w:rPr>
        <w:t xml:space="preserve"> </w:t>
      </w:r>
    </w:p>
    <w:p w14:paraId="1FB21CC1">
      <w:pPr>
        <w:spacing w:line="360" w:lineRule="auto"/>
        <w:rPr>
          <w:color w:val="000000"/>
        </w:rPr>
      </w:pPr>
    </w:p>
    <w:p w14:paraId="387B1D78">
      <w:pPr>
        <w:spacing w:line="360" w:lineRule="auto"/>
        <w:rPr>
          <w:color w:val="000000"/>
        </w:rPr>
      </w:pPr>
    </w:p>
    <w:p w14:paraId="656123C4">
      <w:pPr>
        <w:spacing w:line="360" w:lineRule="auto"/>
        <w:rPr>
          <w:color w:val="000000"/>
        </w:rPr>
      </w:pPr>
    </w:p>
    <w:p w14:paraId="2EE79A47">
      <w:pPr>
        <w:spacing w:line="360" w:lineRule="auto"/>
        <w:rPr>
          <w:color w:val="000000"/>
        </w:rPr>
      </w:pPr>
    </w:p>
    <w:p w14:paraId="21A67AFD">
      <w:pPr>
        <w:spacing w:line="360" w:lineRule="auto"/>
        <w:rPr>
          <w:color w:val="000000"/>
        </w:rPr>
      </w:pPr>
    </w:p>
    <w:p w14:paraId="08112B1A">
      <w:pPr>
        <w:spacing w:line="360" w:lineRule="auto"/>
        <w:rPr>
          <w:color w:val="000000"/>
        </w:rPr>
      </w:pPr>
    </w:p>
    <w:p w14:paraId="758E57CF">
      <w:pPr>
        <w:spacing w:line="200" w:lineRule="exact"/>
        <w:rPr>
          <w:color w:val="000000"/>
        </w:rPr>
      </w:pPr>
    </w:p>
    <w:p w14:paraId="3A90153D">
      <w:pPr>
        <w:spacing w:line="200" w:lineRule="exact"/>
        <w:rPr>
          <w:color w:val="000000"/>
        </w:rPr>
      </w:pPr>
    </w:p>
    <w:p w14:paraId="3BEF99BB">
      <w:pPr>
        <w:spacing w:line="200" w:lineRule="exact"/>
        <w:rPr>
          <w:color w:val="000000"/>
        </w:rPr>
      </w:pPr>
    </w:p>
    <w:p w14:paraId="2B4D1780">
      <w:pPr>
        <w:spacing w:line="500" w:lineRule="exact"/>
        <w:jc w:val="center"/>
        <w:rPr>
          <w:rFonts w:eastAsia="黑体"/>
          <w:color w:val="000000"/>
          <w:sz w:val="24"/>
        </w:rPr>
      </w:pPr>
      <w:r>
        <w:rPr>
          <w:color w:val="000000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302895</wp:posOffset>
                </wp:positionV>
                <wp:extent cx="612013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9pt;margin-top:23.85pt;height:0pt;width:481.9pt;z-index:251662336;mso-width-relative:page;mso-height-relative:page;" filled="f" stroked="t" coordsize="21600,21600" o:gfxdata="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+XSEXXAAAACAEAAA8AAAAAAAAAAQAgAAAAIgAAAGRycy9kb3ducmV2LnhtbFBLAQIUABQA&#10;AAAIAIdO4kCnQ9/M8QEAAOMDAAAOAAAAAAAAAAEAIAAAACYBAABkcnMvZTJvRG9jLnhtbFBLBQYA&#10;AAAABgAGAFkBAACJ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kern w:val="0"/>
          <w:sz w:val="24"/>
        </w:rPr>
        <w:t>2026年</w:t>
      </w:r>
      <w:r>
        <w:rPr>
          <w:rFonts w:eastAsia="黑体"/>
          <w:color w:val="000000"/>
          <w:sz w:val="24"/>
        </w:rPr>
        <w:t xml:space="preserve">-  - 发布                                     </w:t>
      </w:r>
      <w:r>
        <w:rPr>
          <w:kern w:val="0"/>
          <w:sz w:val="24"/>
        </w:rPr>
        <w:t>2026年</w:t>
      </w:r>
      <w:r>
        <w:rPr>
          <w:rFonts w:eastAsia="黑体"/>
          <w:color w:val="000000"/>
          <w:sz w:val="24"/>
        </w:rPr>
        <w:t>-</w:t>
      </w:r>
      <w:r>
        <w:rPr>
          <w:kern w:val="0"/>
          <w:sz w:val="24"/>
        </w:rPr>
        <w:t xml:space="preserve">  </w:t>
      </w:r>
      <w:r>
        <w:rPr>
          <w:rFonts w:eastAsia="黑体"/>
          <w:color w:val="000000"/>
          <w:sz w:val="24"/>
        </w:rPr>
        <w:t>-</w:t>
      </w:r>
      <w:r>
        <w:rPr>
          <w:kern w:val="0"/>
          <w:sz w:val="24"/>
        </w:rPr>
        <w:t xml:space="preserve">  </w:t>
      </w:r>
      <w:r>
        <w:rPr>
          <w:rFonts w:eastAsia="黑体"/>
          <w:color w:val="000000"/>
          <w:sz w:val="24"/>
        </w:rPr>
        <w:t>实施</w:t>
      </w:r>
    </w:p>
    <w:p w14:paraId="45D94314">
      <w:pPr>
        <w:spacing w:line="500" w:lineRule="exact"/>
        <w:jc w:val="center"/>
        <w:rPr>
          <w:b/>
          <w:color w:val="000000"/>
          <w:sz w:val="10"/>
          <w:szCs w:val="10"/>
        </w:rPr>
      </w:pPr>
    </w:p>
    <w:p w14:paraId="5BC5CF16">
      <w:pPr>
        <w:pStyle w:val="47"/>
        <w:tabs>
          <w:tab w:val="left" w:pos="5775"/>
        </w:tabs>
        <w:jc w:val="center"/>
        <w:rPr>
          <w:rFonts w:eastAsia="黑体"/>
          <w:b/>
          <w:color w:val="000000"/>
          <w:sz w:val="22"/>
          <w:szCs w:val="22"/>
        </w:rPr>
      </w:pPr>
      <w:r>
        <w:rPr>
          <w:rFonts w:hint="eastAsia"/>
          <w:b/>
          <w:color w:val="000000"/>
          <w:sz w:val="36"/>
          <w:szCs w:val="36"/>
        </w:rPr>
        <w:t xml:space="preserve">                      </w:t>
      </w:r>
      <w:r>
        <w:rPr>
          <w:b/>
          <w:color w:val="000000"/>
          <w:sz w:val="36"/>
          <w:szCs w:val="36"/>
        </w:rPr>
        <w:t xml:space="preserve">  </w:t>
      </w:r>
      <w:r>
        <w:rPr>
          <w:rFonts w:eastAsia="黑体"/>
          <w:b/>
          <w:color w:val="000000"/>
          <w:sz w:val="22"/>
          <w:szCs w:val="22"/>
        </w:rPr>
        <w:t>发</w:t>
      </w:r>
      <w:r>
        <w:rPr>
          <w:rFonts w:eastAsia="黑体"/>
          <w:b/>
          <w:color w:val="000000"/>
          <w:sz w:val="8"/>
          <w:szCs w:val="8"/>
        </w:rPr>
        <w:t xml:space="preserve"> </w:t>
      </w:r>
      <w:r>
        <w:rPr>
          <w:rFonts w:eastAsia="黑体"/>
          <w:b/>
          <w:color w:val="000000"/>
          <w:sz w:val="22"/>
          <w:szCs w:val="22"/>
        </w:rPr>
        <w:t>布</w:t>
      </w:r>
    </w:p>
    <w:p w14:paraId="3639132C">
      <w:pPr>
        <w:jc w:val="center"/>
        <w:rPr>
          <w:rFonts w:eastAsia="黑体"/>
          <w:sz w:val="32"/>
          <w:szCs w:val="32"/>
        </w:rPr>
      </w:pPr>
      <w:r>
        <w:rPr>
          <w:rFonts w:eastAsia="黑体"/>
          <w:b/>
          <w:color w:val="000000"/>
          <w:sz w:val="28"/>
          <w:szCs w:val="28"/>
        </w:rPr>
        <w:br w:type="page"/>
      </w:r>
      <w:bookmarkEnd w:id="1"/>
      <w:r>
        <w:rPr>
          <w:rFonts w:eastAsia="黑体"/>
          <w:sz w:val="32"/>
          <w:szCs w:val="32"/>
        </w:rPr>
        <w:t>目   次</w:t>
      </w: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/>
        </w:rPr>
        <w:id w:val="-147905268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/>
        </w:rPr>
      </w:sdtEndPr>
      <w:sdtContent>
        <w:p w14:paraId="30C38A13">
          <w:pPr>
            <w:pStyle w:val="63"/>
            <w:rPr>
              <w:rFonts w:ascii="Times New Roman" w:hAnsi="Times New Roman" w:cs="Times New Roman"/>
            </w:rPr>
          </w:pPr>
        </w:p>
        <w:p w14:paraId="7FE8CE65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"_Toc240880669" </w:instrText>
          </w:r>
          <w:r>
            <w:fldChar w:fldCharType="separate"/>
          </w:r>
          <w:r>
            <w:rPr>
              <w:rStyle w:val="25"/>
            </w:rPr>
            <w:t>黄土高原旱地玉米地膜覆盖集雨种植技术规程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_Toc240880669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142E364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"_Toc240880670" </w:instrText>
          </w:r>
          <w:r>
            <w:fldChar w:fldCharType="separate"/>
          </w:r>
          <w:r>
            <w:rPr>
              <w:rStyle w:val="25"/>
            </w:rPr>
            <w:t>1 范围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_Toc240880670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E1A3FFB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"_Toc240880671" </w:instrText>
          </w:r>
          <w:r>
            <w:fldChar w:fldCharType="separate"/>
          </w:r>
          <w:r>
            <w:rPr>
              <w:rStyle w:val="25"/>
            </w:rPr>
            <w:t>2 规范性引用文件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_Toc240880671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015530D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"_Toc240880672" </w:instrText>
          </w:r>
          <w:r>
            <w:fldChar w:fldCharType="separate"/>
          </w:r>
          <w:r>
            <w:rPr>
              <w:rStyle w:val="25"/>
            </w:rPr>
            <w:t>3 术语和定义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_Toc240880672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D2015E0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"_Toc240880673" </w:instrText>
          </w:r>
          <w:r>
            <w:fldChar w:fldCharType="separate"/>
          </w:r>
          <w:r>
            <w:rPr>
              <w:rStyle w:val="25"/>
            </w:rPr>
            <w:t>4 总体要求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_Toc240880673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2F431D4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"_Toc240880674" </w:instrText>
          </w:r>
          <w:r>
            <w:fldChar w:fldCharType="separate"/>
          </w:r>
          <w:r>
            <w:rPr>
              <w:rStyle w:val="25"/>
            </w:rPr>
            <w:t>5 覆膜集雨要求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_Toc240880674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D286ACD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"_Toc240880675" </w:instrText>
          </w:r>
          <w:r>
            <w:fldChar w:fldCharType="separate"/>
          </w:r>
          <w:r>
            <w:rPr>
              <w:rStyle w:val="25"/>
            </w:rPr>
            <w:t>6 选地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_Toc240880675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296440B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"_Toc240880676" </w:instrText>
          </w:r>
          <w:r>
            <w:fldChar w:fldCharType="separate"/>
          </w:r>
          <w:r>
            <w:rPr>
              <w:rStyle w:val="25"/>
            </w:rPr>
            <w:t>7 整地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_Toc240880676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9BD205B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"_Toc240880677" </w:instrText>
          </w:r>
          <w:r>
            <w:fldChar w:fldCharType="separate"/>
          </w:r>
          <w:r>
            <w:rPr>
              <w:rStyle w:val="25"/>
            </w:rPr>
            <w:t>8 施肥播种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_Toc240880677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78F0C0A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"_Toc240880678" </w:instrText>
          </w:r>
          <w:r>
            <w:fldChar w:fldCharType="separate"/>
          </w:r>
          <w:r>
            <w:rPr>
              <w:rStyle w:val="25"/>
            </w:rPr>
            <w:t>9 田间管理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_Toc240880678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5CDB254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"_Toc240880679" </w:instrText>
          </w:r>
          <w:r>
            <w:fldChar w:fldCharType="separate"/>
          </w:r>
          <w:r>
            <w:rPr>
              <w:rStyle w:val="25"/>
            </w:rPr>
            <w:t>10 收获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_Toc240880679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F3EFA0F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"_Toc240880680" </w:instrText>
          </w:r>
          <w:r>
            <w:fldChar w:fldCharType="separate"/>
          </w:r>
          <w:r>
            <w:rPr>
              <w:rStyle w:val="25"/>
            </w:rPr>
            <w:t>11 残膜处置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_Toc240880680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E0BFE79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"_Toc240880681" </w:instrText>
          </w:r>
          <w:r>
            <w:fldChar w:fldCharType="separate"/>
          </w:r>
          <w:r>
            <w:rPr>
              <w:rStyle w:val="25"/>
            </w:rPr>
            <w:t>附录A（资料性）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_Toc240880681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D2E2672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"_Toc240880682" </w:instrText>
          </w:r>
          <w:r>
            <w:fldChar w:fldCharType="separate"/>
          </w:r>
          <w:r>
            <w:rPr>
              <w:rStyle w:val="25"/>
            </w:rPr>
            <w:t>附录B（规范性）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_Toc240880682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E85CFFC">
          <w:pPr>
            <w:pStyle w:val="16"/>
            <w:tabs>
              <w:tab w:val="right" w:leader="dot" w:pos="9344"/>
            </w:tabs>
            <w:rPr>
              <w:rFonts w:hint="eastAsia" w:asciiTheme="minorHAnsi" w:hAnsiTheme="minorHAnsi" w:eastAsiaTheme="minorEastAsia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"_Toc240880683" </w:instrText>
          </w:r>
          <w:r>
            <w:fldChar w:fldCharType="separate"/>
          </w:r>
          <w:r>
            <w:rPr>
              <w:rStyle w:val="25"/>
            </w:rPr>
            <w:t>附录C（资料性）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_Toc240880683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BE4C4C0">
          <w:pPr>
            <w:adjustRightInd w:val="0"/>
            <w:snapToGrid w:val="0"/>
            <w:spacing w:line="40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7BB72B58">
      <w:pPr>
        <w:pStyle w:val="15"/>
        <w:tabs>
          <w:tab w:val="right" w:leader="dot" w:pos="8306"/>
        </w:tabs>
      </w:pPr>
    </w:p>
    <w:p w14:paraId="50ECFD87">
      <w:pPr>
        <w:pStyle w:val="15"/>
        <w:tabs>
          <w:tab w:val="right" w:leader="dot" w:pos="8306"/>
        </w:tabs>
        <w:jc w:val="left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TOC \o "1-1" \h \u </w:instrText>
      </w:r>
      <w:r>
        <w:rPr>
          <w:sz w:val="24"/>
        </w:rPr>
        <w:fldChar w:fldCharType="separate"/>
      </w:r>
    </w:p>
    <w:p w14:paraId="3BDA989F">
      <w:pPr>
        <w:pStyle w:val="15"/>
        <w:tabs>
          <w:tab w:val="right" w:leader="dot" w:pos="8306"/>
        </w:tabs>
        <w:spacing w:line="432" w:lineRule="auto"/>
        <w:jc w:val="left"/>
        <w:rPr>
          <w:sz w:val="24"/>
        </w:rPr>
      </w:pPr>
    </w:p>
    <w:p w14:paraId="77A8C0CC">
      <w:r>
        <w:rPr>
          <w:sz w:val="24"/>
        </w:rPr>
        <w:fldChar w:fldCharType="end"/>
      </w:r>
    </w:p>
    <w:p w14:paraId="15195088">
      <w:pPr>
        <w:tabs>
          <w:tab w:val="left" w:pos="7330"/>
        </w:tabs>
      </w:pPr>
      <w:r>
        <w:tab/>
      </w:r>
    </w:p>
    <w:p w14:paraId="6243CACC">
      <w:pPr>
        <w:tabs>
          <w:tab w:val="left" w:pos="7330"/>
        </w:tabs>
      </w:pPr>
    </w:p>
    <w:p w14:paraId="44C7F09B">
      <w:pPr>
        <w:tabs>
          <w:tab w:val="left" w:pos="7330"/>
        </w:tabs>
      </w:pPr>
    </w:p>
    <w:p w14:paraId="3D97E3E9">
      <w:pPr>
        <w:widowControl/>
        <w:jc w:val="left"/>
      </w:pPr>
      <w:r>
        <w:br w:type="page"/>
      </w:r>
    </w:p>
    <w:p w14:paraId="698C88DD">
      <w:pPr>
        <w:tabs>
          <w:tab w:val="left" w:pos="7080"/>
        </w:tabs>
        <w:jc w:val="center"/>
      </w:pPr>
      <w:bookmarkStart w:id="4" w:name="_Toc142290764"/>
    </w:p>
    <w:p w14:paraId="67A808AD">
      <w:pPr>
        <w:tabs>
          <w:tab w:val="left" w:pos="7080"/>
        </w:tabs>
        <w:jc w:val="center"/>
      </w:pPr>
    </w:p>
    <w:p w14:paraId="256D5AC1">
      <w:pPr>
        <w:tabs>
          <w:tab w:val="left" w:pos="7080"/>
        </w:tabs>
        <w:jc w:val="center"/>
      </w:pPr>
    </w:p>
    <w:p w14:paraId="574FE318">
      <w:pPr>
        <w:tabs>
          <w:tab w:val="left" w:pos="7080"/>
        </w:tabs>
        <w:jc w:val="center"/>
      </w:pPr>
    </w:p>
    <w:p w14:paraId="29BC982F">
      <w:pPr>
        <w:tabs>
          <w:tab w:val="left" w:pos="7080"/>
        </w:tabs>
        <w:jc w:val="center"/>
        <w:rPr>
          <w:b/>
          <w:bCs/>
          <w:sz w:val="32"/>
          <w:szCs w:val="40"/>
        </w:rPr>
      </w:pPr>
      <w:r>
        <w:rPr>
          <w:b/>
          <w:bCs/>
          <w:sz w:val="32"/>
          <w:szCs w:val="40"/>
        </w:rPr>
        <w:t>前</w:t>
      </w:r>
      <w:bookmarkStart w:id="5" w:name="BKQY"/>
      <w:r>
        <w:rPr>
          <w:b/>
          <w:bCs/>
          <w:sz w:val="32"/>
          <w:szCs w:val="40"/>
        </w:rPr>
        <w:t> 言</w:t>
      </w:r>
      <w:bookmarkEnd w:id="4"/>
      <w:bookmarkEnd w:id="5"/>
    </w:p>
    <w:p w14:paraId="5CF5B985">
      <w:pPr>
        <w:tabs>
          <w:tab w:val="left" w:pos="7080"/>
        </w:tabs>
        <w:jc w:val="center"/>
        <w:rPr>
          <w:sz w:val="32"/>
          <w:szCs w:val="40"/>
        </w:rPr>
      </w:pPr>
    </w:p>
    <w:p w14:paraId="56810CB7">
      <w:pPr>
        <w:tabs>
          <w:tab w:val="left" w:pos="7080"/>
        </w:tabs>
        <w:jc w:val="center"/>
        <w:rPr>
          <w:sz w:val="32"/>
          <w:szCs w:val="40"/>
        </w:rPr>
      </w:pPr>
    </w:p>
    <w:p w14:paraId="1A63B833">
      <w:pPr>
        <w:widowControl/>
        <w:autoSpaceDE w:val="0"/>
        <w:autoSpaceDN w:val="0"/>
        <w:spacing w:line="360" w:lineRule="auto"/>
        <w:ind w:firstLine="430" w:firstLineChars="205"/>
        <w:rPr>
          <w:kern w:val="0"/>
          <w:szCs w:val="21"/>
        </w:rPr>
      </w:pPr>
      <w:r>
        <w:rPr>
          <w:kern w:val="0"/>
          <w:szCs w:val="21"/>
        </w:rPr>
        <w:t>本文件按照GB/T1.1-2020《标准化工作导则第1部分：标准化文件的结构和起草规则》的规定起草。</w:t>
      </w:r>
    </w:p>
    <w:p w14:paraId="2F4D8D95">
      <w:pPr>
        <w:widowControl/>
        <w:autoSpaceDE w:val="0"/>
        <w:autoSpaceDN w:val="0"/>
        <w:spacing w:line="360" w:lineRule="auto"/>
        <w:ind w:firstLine="430" w:firstLineChars="205"/>
        <w:rPr>
          <w:kern w:val="0"/>
          <w:szCs w:val="21"/>
        </w:rPr>
      </w:pPr>
      <w:r>
        <w:rPr>
          <w:kern w:val="0"/>
          <w:szCs w:val="21"/>
        </w:rPr>
        <w:t>请注意本文件的某些内容可能涉及专利，本文件的发布机构不承担识别这些专利的责任。</w:t>
      </w:r>
    </w:p>
    <w:p w14:paraId="7EC8A4D5">
      <w:pPr>
        <w:widowControl/>
        <w:autoSpaceDE w:val="0"/>
        <w:autoSpaceDN w:val="0"/>
        <w:spacing w:line="360" w:lineRule="auto"/>
        <w:ind w:firstLine="430" w:firstLineChars="205"/>
        <w:rPr>
          <w:kern w:val="0"/>
          <w:szCs w:val="21"/>
        </w:rPr>
      </w:pPr>
      <w:r>
        <w:rPr>
          <w:kern w:val="0"/>
          <w:szCs w:val="21"/>
        </w:rPr>
        <w:t>本文件由</w:t>
      </w:r>
      <w:bookmarkStart w:id="6" w:name="OLE_LINK5"/>
      <w:r>
        <w:rPr>
          <w:rFonts w:hint="eastAsia"/>
          <w:kern w:val="0"/>
          <w:szCs w:val="21"/>
        </w:rPr>
        <w:t>中国农业节水和农村供水技术协会</w:t>
      </w:r>
      <w:bookmarkEnd w:id="6"/>
      <w:r>
        <w:rPr>
          <w:kern w:val="0"/>
          <w:szCs w:val="21"/>
        </w:rPr>
        <w:t>提出并归口。</w:t>
      </w:r>
    </w:p>
    <w:p w14:paraId="15ADDD3F">
      <w:pPr>
        <w:widowControl/>
        <w:autoSpaceDE w:val="0"/>
        <w:autoSpaceDN w:val="0"/>
        <w:spacing w:line="360" w:lineRule="auto"/>
        <w:ind w:firstLine="430" w:firstLineChars="205"/>
        <w:rPr>
          <w:kern w:val="0"/>
          <w:szCs w:val="21"/>
        </w:rPr>
      </w:pPr>
      <w:r>
        <w:rPr>
          <w:kern w:val="0"/>
          <w:szCs w:val="21"/>
        </w:rPr>
        <w:t>本文件起草单位：</w:t>
      </w:r>
      <w:bookmarkStart w:id="7" w:name="OLE_LINK2"/>
      <w:r>
        <w:rPr>
          <w:kern w:val="0"/>
          <w:szCs w:val="21"/>
        </w:rPr>
        <w:t>甘肃省农业科学院旱地农业研究所</w:t>
      </w:r>
      <w:r>
        <w:rPr>
          <w:rFonts w:hint="eastAsia"/>
          <w:kern w:val="0"/>
          <w:szCs w:val="21"/>
        </w:rPr>
        <w:t>、甘肃省农业技术推广总站；西北农林科技大学；中国农业科学院农业环境与可持续发展研究所；平凉市农业科学院</w:t>
      </w:r>
      <w:bookmarkEnd w:id="7"/>
      <w:r>
        <w:rPr>
          <w:rFonts w:hint="eastAsia"/>
          <w:kern w:val="0"/>
          <w:szCs w:val="21"/>
        </w:rPr>
        <w:t>；全国农业技术推广服务中心</w:t>
      </w:r>
    </w:p>
    <w:p w14:paraId="0BD5582B">
      <w:pPr>
        <w:widowControl/>
        <w:autoSpaceDE w:val="0"/>
        <w:autoSpaceDN w:val="0"/>
        <w:spacing w:line="360" w:lineRule="auto"/>
        <w:ind w:firstLine="430" w:firstLineChars="205"/>
        <w:rPr>
          <w:kern w:val="0"/>
          <w:szCs w:val="21"/>
        </w:rPr>
      </w:pPr>
      <w:r>
        <w:rPr>
          <w:kern w:val="0"/>
          <w:szCs w:val="21"/>
        </w:rPr>
        <w:t>本文件主要起草人：</w:t>
      </w:r>
      <w:bookmarkStart w:id="8" w:name="OLE_LINK6"/>
      <w:bookmarkStart w:id="9" w:name="_Hlk208216422"/>
      <w:r>
        <w:rPr>
          <w:rFonts w:hint="eastAsia"/>
          <w:kern w:val="0"/>
          <w:szCs w:val="21"/>
        </w:rPr>
        <w:t>赵刚、</w:t>
      </w:r>
      <w:r>
        <w:rPr>
          <w:kern w:val="0"/>
          <w:szCs w:val="21"/>
        </w:rPr>
        <w:t>张</w:t>
      </w:r>
      <w:r>
        <w:rPr>
          <w:rFonts w:hint="eastAsia"/>
          <w:kern w:val="0"/>
          <w:szCs w:val="21"/>
        </w:rPr>
        <w:t>铠</w:t>
      </w:r>
      <w:r>
        <w:rPr>
          <w:kern w:val="0"/>
          <w:szCs w:val="21"/>
        </w:rPr>
        <w:t>鹏、</w:t>
      </w:r>
      <w:r>
        <w:rPr>
          <w:rFonts w:hint="eastAsia"/>
          <w:kern w:val="0"/>
          <w:szCs w:val="21"/>
        </w:rPr>
        <w:t>樊廷录、李尚中、李昊儒、毛丽丽、任小龙、孙多鑫、陈广峰、周刚、党翼、王磊、张建军、</w:t>
      </w:r>
      <w:r>
        <w:rPr>
          <w:kern w:val="0"/>
          <w:szCs w:val="21"/>
        </w:rPr>
        <w:t>周旭姣</w:t>
      </w:r>
      <w:r>
        <w:rPr>
          <w:rFonts w:hint="eastAsia"/>
          <w:kern w:val="0"/>
          <w:szCs w:val="21"/>
        </w:rPr>
        <w:t>、</w:t>
      </w:r>
      <w:r>
        <w:rPr>
          <w:kern w:val="0"/>
          <w:szCs w:val="21"/>
        </w:rPr>
        <w:t>王淑英</w:t>
      </w:r>
      <w:r>
        <w:rPr>
          <w:rFonts w:hint="eastAsia"/>
          <w:kern w:val="0"/>
          <w:szCs w:val="21"/>
        </w:rPr>
        <w:t>、米文博、续创业、</w:t>
      </w:r>
      <w:r>
        <w:rPr>
          <w:kern w:val="0"/>
          <w:szCs w:val="21"/>
        </w:rPr>
        <w:t>程万</w:t>
      </w:r>
      <w:r>
        <w:rPr>
          <w:rFonts w:hint="eastAsia"/>
          <w:kern w:val="0"/>
          <w:szCs w:val="21"/>
        </w:rPr>
        <w:t>莉、魏江文</w:t>
      </w:r>
      <w:bookmarkEnd w:id="8"/>
      <w:r>
        <w:rPr>
          <w:kern w:val="0"/>
          <w:szCs w:val="21"/>
        </w:rPr>
        <w:t>。</w:t>
      </w:r>
    </w:p>
    <w:bookmarkEnd w:id="9"/>
    <w:p w14:paraId="0C8DCF8B">
      <w:pPr>
        <w:widowControl/>
        <w:autoSpaceDE w:val="0"/>
        <w:autoSpaceDN w:val="0"/>
        <w:spacing w:line="360" w:lineRule="auto"/>
        <w:ind w:firstLine="430" w:firstLineChars="205"/>
        <w:rPr>
          <w:kern w:val="0"/>
          <w:szCs w:val="21"/>
        </w:rPr>
      </w:pPr>
      <w:r>
        <w:rPr>
          <w:rFonts w:hint="eastAsia"/>
          <w:kern w:val="0"/>
          <w:szCs w:val="21"/>
        </w:rPr>
        <w:t>本文件为首次发布。</w:t>
      </w:r>
    </w:p>
    <w:p w14:paraId="61897BB8">
      <w:pPr>
        <w:pStyle w:val="52"/>
        <w:spacing w:line="360" w:lineRule="auto"/>
        <w:jc w:val="both"/>
        <w:rPr>
          <w:rFonts w:ascii="Times New Roma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type w:val="evenPage"/>
          <w:pgSz w:w="11905" w:h="16838"/>
          <w:pgMar w:top="567" w:right="1134" w:bottom="1134" w:left="1417" w:header="850" w:footer="992" w:gutter="0"/>
          <w:pgNumType w:fmt="upperRoman"/>
          <w:cols w:space="720" w:num="1"/>
          <w:formProt w:val="0"/>
          <w:titlePg/>
          <w:docGrid w:linePitch="312" w:charSpace="0"/>
        </w:sectPr>
      </w:pPr>
    </w:p>
    <w:p w14:paraId="5DF92A57">
      <w:pPr>
        <w:pStyle w:val="27"/>
        <w:numPr>
          <w:ilvl w:val="0"/>
          <w:numId w:val="0"/>
        </w:numPr>
        <w:adjustRightInd w:val="0"/>
        <w:snapToGrid w:val="0"/>
        <w:spacing w:before="240" w:after="240"/>
        <w:jc w:val="center"/>
        <w:rPr>
          <w:rFonts w:ascii="Times New Roman"/>
          <w:sz w:val="24"/>
          <w:szCs w:val="22"/>
        </w:rPr>
      </w:pPr>
      <w:bookmarkStart w:id="10" w:name="_Toc208051471"/>
      <w:bookmarkStart w:id="11" w:name="_Toc142290766"/>
    </w:p>
    <w:bookmarkEnd w:id="10"/>
    <w:p w14:paraId="5CA45FD8">
      <w:pPr>
        <w:pStyle w:val="27"/>
        <w:numPr>
          <w:ilvl w:val="0"/>
          <w:numId w:val="0"/>
        </w:numPr>
        <w:adjustRightInd w:val="0"/>
        <w:snapToGrid w:val="0"/>
        <w:spacing w:before="640" w:beforeLines="0" w:after="560" w:afterLines="0" w:line="460" w:lineRule="exact"/>
        <w:jc w:val="center"/>
        <w:rPr>
          <w:rFonts w:ascii="Times New Roman"/>
          <w:sz w:val="28"/>
          <w:szCs w:val="24"/>
        </w:rPr>
      </w:pPr>
      <w:bookmarkStart w:id="12" w:name="_Toc236751132"/>
      <w:bookmarkStart w:id="13" w:name="_Toc240880669"/>
      <w:r>
        <w:rPr>
          <w:rFonts w:hint="eastAsia" w:ascii="Times New Roman"/>
          <w:sz w:val="28"/>
          <w:szCs w:val="24"/>
        </w:rPr>
        <w:t>黄土高原旱地玉米地膜覆盖集雨种植技术规程</w:t>
      </w:r>
      <w:bookmarkEnd w:id="12"/>
      <w:bookmarkEnd w:id="13"/>
    </w:p>
    <w:p w14:paraId="7111D2E5">
      <w:pPr>
        <w:pStyle w:val="27"/>
        <w:spacing w:before="240" w:beforeLines="0" w:after="240" w:afterLines="0" w:line="400" w:lineRule="exact"/>
        <w:rPr>
          <w:rFonts w:ascii="Times New Roman"/>
        </w:rPr>
      </w:pPr>
      <w:bookmarkStart w:id="14" w:name="_Toc240880670"/>
      <w:r>
        <w:rPr>
          <w:rFonts w:ascii="Times New Roman"/>
        </w:rPr>
        <w:t>范围</w:t>
      </w:r>
      <w:bookmarkEnd w:id="11"/>
      <w:bookmarkEnd w:id="14"/>
    </w:p>
    <w:p w14:paraId="131071C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360" w:lineRule="auto"/>
        <w:ind w:firstLine="420" w:firstLineChars="200"/>
        <w:jc w:val="left"/>
        <w:rPr>
          <w:szCs w:val="22"/>
        </w:rPr>
      </w:pPr>
      <w:bookmarkStart w:id="15" w:name="OLE_LINK21"/>
      <w:bookmarkStart w:id="16" w:name="_Toc142290767"/>
      <w:r>
        <w:rPr>
          <w:szCs w:val="22"/>
        </w:rPr>
        <w:t>本</w:t>
      </w:r>
      <w:r>
        <w:rPr>
          <w:rFonts w:hint="eastAsia"/>
          <w:szCs w:val="22"/>
        </w:rPr>
        <w:t>文件</w:t>
      </w:r>
      <w:r>
        <w:rPr>
          <w:szCs w:val="22"/>
        </w:rPr>
        <w:t>规定了</w:t>
      </w:r>
      <w:r>
        <w:rPr>
          <w:rFonts w:hint="eastAsia"/>
          <w:szCs w:val="22"/>
        </w:rPr>
        <w:t>黄土高原区旱地玉米地膜覆盖集雨种植技术</w:t>
      </w:r>
      <w:bookmarkStart w:id="17" w:name="OLE_LINK1"/>
      <w:r>
        <w:rPr>
          <w:rFonts w:hint="eastAsia"/>
          <w:szCs w:val="22"/>
        </w:rPr>
        <w:t>总体要求、覆膜集雨要求、选地、整地、覆膜播种、田间管理、收获、残膜处置</w:t>
      </w:r>
      <w:r>
        <w:rPr>
          <w:szCs w:val="22"/>
        </w:rPr>
        <w:t>的要求。</w:t>
      </w:r>
      <w:bookmarkEnd w:id="17"/>
    </w:p>
    <w:p w14:paraId="78EA813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360" w:lineRule="auto"/>
        <w:ind w:firstLine="420" w:firstLineChars="200"/>
        <w:jc w:val="left"/>
        <w:rPr>
          <w:szCs w:val="22"/>
        </w:rPr>
      </w:pPr>
      <w:r>
        <w:rPr>
          <w:szCs w:val="22"/>
        </w:rPr>
        <w:t>本</w:t>
      </w:r>
      <w:r>
        <w:rPr>
          <w:rFonts w:hint="eastAsia"/>
          <w:szCs w:val="22"/>
        </w:rPr>
        <w:t>文件</w:t>
      </w:r>
      <w:r>
        <w:rPr>
          <w:szCs w:val="22"/>
        </w:rPr>
        <w:t>适用于</w:t>
      </w:r>
      <w:r>
        <w:rPr>
          <w:rFonts w:hint="eastAsia" w:ascii="Arial" w:hAnsi="Arial" w:cs="Arial"/>
          <w:szCs w:val="22"/>
        </w:rPr>
        <w:t>年降水量</w:t>
      </w:r>
      <w:r>
        <w:rPr>
          <w:rFonts w:hint="eastAsia"/>
          <w:szCs w:val="22"/>
        </w:rPr>
        <w:t>300mm~600</w:t>
      </w:r>
      <w:r>
        <w:rPr>
          <w:szCs w:val="22"/>
        </w:rPr>
        <w:t>mm</w:t>
      </w:r>
      <w:r>
        <w:rPr>
          <w:rFonts w:hint="eastAsia" w:ascii="Arial" w:hAnsi="Arial" w:cs="Arial"/>
          <w:szCs w:val="22"/>
        </w:rPr>
        <w:t>的旱作区覆膜春玉米的种植区。</w:t>
      </w:r>
      <w:bookmarkEnd w:id="15"/>
    </w:p>
    <w:p w14:paraId="27C4E32C">
      <w:pPr>
        <w:pStyle w:val="27"/>
        <w:spacing w:before="240" w:beforeLines="0" w:after="240" w:afterLines="0" w:line="400" w:lineRule="exact"/>
        <w:rPr>
          <w:rFonts w:ascii="Times New Roman"/>
        </w:rPr>
      </w:pPr>
      <w:bookmarkStart w:id="18" w:name="_Toc240880671"/>
      <w:r>
        <w:rPr>
          <w:rFonts w:ascii="Times New Roman"/>
        </w:rPr>
        <w:t>规范性引用文件</w:t>
      </w:r>
      <w:bookmarkEnd w:id="16"/>
      <w:bookmarkEnd w:id="18"/>
    </w:p>
    <w:p w14:paraId="6CC1FC68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szCs w:val="22"/>
        </w:rPr>
        <w:t>下列文件对于本文件的应用是必不可少的。凡是注日期的引用文件，仅注日期的版本适用于本文件。凡是不注日期的引用文件，其最新版本（包括所有的修改单）适用于本文件。</w:t>
      </w:r>
    </w:p>
    <w:p w14:paraId="60D73E79">
      <w:pPr>
        <w:adjustRightInd w:val="0"/>
        <w:snapToGrid w:val="0"/>
        <w:spacing w:line="360" w:lineRule="auto"/>
        <w:ind w:firstLine="420"/>
        <w:rPr>
          <w:szCs w:val="22"/>
        </w:rPr>
      </w:pPr>
      <w:bookmarkStart w:id="19" w:name="OLE_LINK22"/>
      <w:r>
        <w:rPr>
          <w:szCs w:val="22"/>
        </w:rPr>
        <w:t>GB 10395.1 农林机械 安全 第1部分：总则</w:t>
      </w:r>
    </w:p>
    <w:p w14:paraId="3740B062">
      <w:pPr>
        <w:adjustRightInd w:val="0"/>
        <w:snapToGrid w:val="0"/>
        <w:spacing w:line="360" w:lineRule="auto"/>
        <w:ind w:firstLine="420"/>
        <w:rPr>
          <w:szCs w:val="22"/>
        </w:rPr>
      </w:pPr>
      <w:bookmarkStart w:id="20" w:name="OLE_LINK3"/>
      <w:r>
        <w:rPr>
          <w:szCs w:val="22"/>
        </w:rPr>
        <w:t>GB 4404.1 粮食作物种子 第1部分：禾谷类</w:t>
      </w:r>
    </w:p>
    <w:bookmarkEnd w:id="20"/>
    <w:p w14:paraId="3DD36FE9">
      <w:pPr>
        <w:adjustRightInd w:val="0"/>
        <w:snapToGrid w:val="0"/>
        <w:spacing w:line="360" w:lineRule="auto"/>
        <w:ind w:firstLine="420"/>
        <w:rPr>
          <w:szCs w:val="22"/>
        </w:rPr>
      </w:pPr>
      <w:r>
        <w:rPr>
          <w:szCs w:val="22"/>
        </w:rPr>
        <w:t>GB/T 8321 农药合理使用准则</w:t>
      </w:r>
    </w:p>
    <w:p w14:paraId="23763A38">
      <w:pPr>
        <w:adjustRightInd w:val="0"/>
        <w:snapToGrid w:val="0"/>
        <w:spacing w:line="360" w:lineRule="auto"/>
        <w:ind w:firstLine="420"/>
        <w:rPr>
          <w:szCs w:val="22"/>
        </w:rPr>
      </w:pPr>
      <w:bookmarkStart w:id="21" w:name="OLE_LINK20"/>
      <w:r>
        <w:rPr>
          <w:szCs w:val="22"/>
        </w:rPr>
        <w:t>GB 13735 聚乙烯吹塑农用地面覆盖薄膜</w:t>
      </w:r>
    </w:p>
    <w:bookmarkEnd w:id="21"/>
    <w:p w14:paraId="5718A087">
      <w:pPr>
        <w:adjustRightInd w:val="0"/>
        <w:snapToGrid w:val="0"/>
        <w:spacing w:line="360" w:lineRule="auto"/>
        <w:ind w:firstLine="420"/>
        <w:rPr>
          <w:szCs w:val="22"/>
        </w:rPr>
      </w:pPr>
      <w:bookmarkStart w:id="22" w:name="OLE_LINK17"/>
      <w:r>
        <w:rPr>
          <w:szCs w:val="22"/>
        </w:rPr>
        <w:t xml:space="preserve">GB/T 35795 </w:t>
      </w:r>
      <w:r>
        <w:rPr>
          <w:rFonts w:hint="eastAsia"/>
          <w:szCs w:val="22"/>
        </w:rPr>
        <w:t>全生物降解农用地面覆盖薄膜</w:t>
      </w:r>
    </w:p>
    <w:p w14:paraId="7C773629">
      <w:pPr>
        <w:adjustRightInd w:val="0"/>
        <w:snapToGrid w:val="0"/>
        <w:spacing w:line="360" w:lineRule="auto"/>
        <w:ind w:firstLine="420"/>
        <w:rPr>
          <w:szCs w:val="22"/>
        </w:rPr>
      </w:pPr>
      <w:r>
        <w:rPr>
          <w:szCs w:val="22"/>
        </w:rPr>
        <w:t>GB/T 23348 缓释肥料</w:t>
      </w:r>
    </w:p>
    <w:p w14:paraId="22907052">
      <w:pPr>
        <w:adjustRightInd w:val="0"/>
        <w:snapToGrid w:val="0"/>
        <w:spacing w:line="360" w:lineRule="auto"/>
        <w:ind w:firstLine="420"/>
        <w:rPr>
          <w:szCs w:val="22"/>
        </w:rPr>
      </w:pPr>
      <w:bookmarkStart w:id="23" w:name="OLE_LINK31"/>
      <w:r>
        <w:rPr>
          <w:szCs w:val="22"/>
        </w:rPr>
        <w:t>GB 47500</w:t>
      </w:r>
      <w:r>
        <w:rPr>
          <w:rFonts w:hint="eastAsia"/>
          <w:szCs w:val="22"/>
        </w:rPr>
        <w:t xml:space="preserve"> </w:t>
      </w:r>
      <w:r>
        <w:rPr>
          <w:szCs w:val="22"/>
        </w:rPr>
        <w:t>畜禽粪肥还田有害物质限量</w:t>
      </w:r>
    </w:p>
    <w:p w14:paraId="73CF0276">
      <w:pPr>
        <w:adjustRightInd w:val="0"/>
        <w:snapToGrid w:val="0"/>
        <w:spacing w:line="360" w:lineRule="auto"/>
        <w:ind w:firstLine="420"/>
        <w:rPr>
          <w:szCs w:val="22"/>
        </w:rPr>
      </w:pPr>
      <w:r>
        <w:rPr>
          <w:szCs w:val="22"/>
        </w:rPr>
        <w:t>GB/T 23391</w:t>
      </w:r>
      <w:bookmarkEnd w:id="23"/>
      <w:r>
        <w:rPr>
          <w:szCs w:val="22"/>
        </w:rPr>
        <w:t>玉米主要病虫害防治技术规范</w:t>
      </w:r>
      <w:r>
        <w:rPr>
          <w:rFonts w:hint="eastAsia"/>
          <w:szCs w:val="22"/>
        </w:rPr>
        <w:t xml:space="preserve"> 第一、第二、第三部分</w:t>
      </w:r>
    </w:p>
    <w:p w14:paraId="1527FF64">
      <w:pPr>
        <w:adjustRightInd w:val="0"/>
        <w:snapToGrid w:val="0"/>
        <w:spacing w:line="360" w:lineRule="auto"/>
        <w:ind w:firstLine="420"/>
        <w:rPr>
          <w:szCs w:val="22"/>
        </w:rPr>
      </w:pPr>
      <w:r>
        <w:rPr>
          <w:szCs w:val="22"/>
        </w:rPr>
        <w:t>GB/T 17980.72</w:t>
      </w:r>
      <w:r>
        <w:rPr>
          <w:rFonts w:hint="eastAsia"/>
          <w:szCs w:val="22"/>
        </w:rPr>
        <w:t xml:space="preserve"> </w:t>
      </w:r>
      <w:r>
        <w:rPr>
          <w:szCs w:val="22"/>
        </w:rPr>
        <w:t>农药 田间药效试验准则（二） 第72部分:杀虫剂防治旱地地下害虫</w:t>
      </w:r>
    </w:p>
    <w:bookmarkEnd w:id="22"/>
    <w:p w14:paraId="2E6C9166">
      <w:pPr>
        <w:adjustRightInd w:val="0"/>
        <w:snapToGrid w:val="0"/>
        <w:spacing w:line="360" w:lineRule="auto"/>
        <w:ind w:firstLine="420"/>
        <w:rPr>
          <w:szCs w:val="22"/>
        </w:rPr>
      </w:pPr>
      <w:r>
        <w:rPr>
          <w:color w:val="000000"/>
          <w:szCs w:val="21"/>
        </w:rPr>
        <w:t xml:space="preserve">GB/T </w:t>
      </w:r>
      <w:r>
        <w:rPr>
          <w:rFonts w:hint="eastAsia"/>
          <w:color w:val="000000"/>
          <w:szCs w:val="21"/>
        </w:rPr>
        <w:t>8321.10 农药合理使用准则（十）</w:t>
      </w:r>
    </w:p>
    <w:p w14:paraId="1FF39EC0">
      <w:pPr>
        <w:adjustRightInd w:val="0"/>
        <w:snapToGrid w:val="0"/>
        <w:spacing w:line="360" w:lineRule="auto"/>
        <w:ind w:firstLine="420"/>
      </w:pPr>
      <w:r>
        <w:t>GB/T 21962 玉米机械化收获 技术条件</w:t>
      </w:r>
    </w:p>
    <w:p w14:paraId="61D26993">
      <w:pPr>
        <w:adjustRightInd w:val="0"/>
        <w:snapToGrid w:val="0"/>
        <w:spacing w:line="360" w:lineRule="auto"/>
        <w:ind w:firstLine="420"/>
        <w:rPr>
          <w:szCs w:val="22"/>
        </w:rPr>
      </w:pPr>
      <w:r>
        <w:rPr>
          <w:szCs w:val="22"/>
        </w:rPr>
        <w:t>NY/T 849 玉米产地环境技术条件</w:t>
      </w:r>
    </w:p>
    <w:p w14:paraId="6789CB58">
      <w:pPr>
        <w:adjustRightInd w:val="0"/>
        <w:snapToGrid w:val="0"/>
        <w:spacing w:line="360" w:lineRule="auto"/>
        <w:ind w:firstLine="420"/>
        <w:rPr>
          <w:szCs w:val="22"/>
        </w:rPr>
      </w:pPr>
      <w:bookmarkStart w:id="24" w:name="OLE_LINK35"/>
      <w:r>
        <w:rPr>
          <w:rFonts w:hint="eastAsia"/>
          <w:szCs w:val="22"/>
        </w:rPr>
        <w:t>NY/T 2686</w:t>
      </w:r>
      <w:bookmarkEnd w:id="24"/>
      <w:r>
        <w:rPr>
          <w:rFonts w:hint="eastAsia"/>
          <w:szCs w:val="22"/>
        </w:rPr>
        <w:t xml:space="preserve"> </w:t>
      </w:r>
      <w:bookmarkStart w:id="25" w:name="OLE_LINK10"/>
      <w:r>
        <w:rPr>
          <w:rFonts w:hint="eastAsia"/>
          <w:szCs w:val="22"/>
        </w:rPr>
        <w:t>旱作玉米全膜覆盖技术规范</w:t>
      </w:r>
      <w:bookmarkEnd w:id="25"/>
    </w:p>
    <w:bookmarkEnd w:id="19"/>
    <w:p w14:paraId="4CD4DC83">
      <w:pPr>
        <w:pStyle w:val="27"/>
        <w:spacing w:before="240" w:beforeLines="0" w:after="240" w:afterLines="0" w:line="400" w:lineRule="exact"/>
        <w:ind w:left="425"/>
        <w:rPr>
          <w:rFonts w:ascii="Times New Roman"/>
        </w:rPr>
      </w:pPr>
      <w:bookmarkStart w:id="26" w:name="_Toc240880672"/>
      <w:r>
        <w:rPr>
          <w:rFonts w:ascii="Times New Roman"/>
        </w:rPr>
        <w:t>术语和定义</w:t>
      </w:r>
      <w:bookmarkEnd w:id="26"/>
    </w:p>
    <w:p w14:paraId="0F85F0BF">
      <w:pPr>
        <w:spacing w:after="120" w:afterLines="50"/>
        <w:ind w:firstLine="420" w:firstLineChars="200"/>
      </w:pPr>
      <w:r>
        <w:t>下列术语和定义适用于本文件。</w:t>
      </w:r>
    </w:p>
    <w:p w14:paraId="59A2E94B">
      <w:pPr>
        <w:adjustRightInd w:val="0"/>
        <w:snapToGrid w:val="0"/>
        <w:spacing w:before="120" w:beforeLines="50" w:after="120" w:afterLines="50" w:line="360" w:lineRule="auto"/>
        <w:ind w:firstLine="420" w:firstLineChars="200"/>
        <w:rPr>
          <w:b/>
          <w:szCs w:val="22"/>
        </w:rPr>
      </w:pPr>
      <w:bookmarkStart w:id="27" w:name="_Toc233300147"/>
      <w:bookmarkEnd w:id="27"/>
      <w:bookmarkStart w:id="28" w:name="OLE_LINK23"/>
      <w:r>
        <w:rPr>
          <w:rFonts w:eastAsia="黑体"/>
          <w:szCs w:val="22"/>
        </w:rPr>
        <w:t>3.</w:t>
      </w:r>
      <w:r>
        <w:rPr>
          <w:rFonts w:hint="eastAsia" w:eastAsia="黑体"/>
          <w:szCs w:val="22"/>
        </w:rPr>
        <w:t>1</w:t>
      </w:r>
      <w:r>
        <w:rPr>
          <w:rFonts w:eastAsia="黑体"/>
          <w:szCs w:val="22"/>
        </w:rPr>
        <w:t xml:space="preserve"> </w:t>
      </w:r>
      <w:r>
        <w:rPr>
          <w:rFonts w:hint="eastAsia" w:eastAsia="黑体"/>
          <w:kern w:val="0"/>
          <w:szCs w:val="21"/>
        </w:rPr>
        <w:t>集雨微地形</w:t>
      </w:r>
      <w:r>
        <w:rPr>
          <w:rFonts w:eastAsia="黑体"/>
          <w:kern w:val="0"/>
          <w:szCs w:val="21"/>
        </w:rPr>
        <w:t xml:space="preserve"> </w:t>
      </w:r>
      <w:r>
        <w:rPr>
          <w:rFonts w:hint="eastAsia"/>
        </w:rPr>
        <w:t>R</w:t>
      </w:r>
      <w:r>
        <w:t>ain</w:t>
      </w:r>
      <w:r>
        <w:noBreakHyphen/>
      </w:r>
      <w:r>
        <w:t>harvesting micro</w:t>
      </w:r>
      <w:r>
        <w:noBreakHyphen/>
      </w:r>
      <w:r>
        <w:t>topography</w:t>
      </w:r>
      <w:r>
        <w:rPr>
          <w:b/>
          <w:szCs w:val="22"/>
        </w:rPr>
        <w:t xml:space="preserve"> </w:t>
      </w:r>
    </w:p>
    <w:p w14:paraId="59DCCF0A">
      <w:pPr>
        <w:spacing w:after="120" w:afterLines="50"/>
        <w:ind w:firstLine="420" w:firstLineChars="200"/>
      </w:pPr>
      <w:r>
        <w:t>通过改变农田地表微地貌，构建垄</w:t>
      </w:r>
      <w:r>
        <w:noBreakHyphen/>
      </w:r>
      <w:r>
        <w:t>沟交替或独立成型的雨水汇集微地貌，促使降水汇集至玉米根系生长区域。</w:t>
      </w:r>
    </w:p>
    <w:p w14:paraId="547A19FE">
      <w:pPr>
        <w:adjustRightInd w:val="0"/>
        <w:snapToGrid w:val="0"/>
        <w:spacing w:before="120" w:beforeLines="50" w:after="120" w:afterLines="50" w:line="360" w:lineRule="auto"/>
        <w:ind w:firstLine="420" w:firstLineChars="200"/>
        <w:rPr>
          <w:rFonts w:eastAsia="黑体"/>
          <w:kern w:val="0"/>
          <w:szCs w:val="21"/>
        </w:rPr>
      </w:pPr>
      <w:r>
        <w:rPr>
          <w:rFonts w:eastAsia="黑体"/>
          <w:szCs w:val="22"/>
        </w:rPr>
        <w:t>3.</w:t>
      </w:r>
      <w:r>
        <w:rPr>
          <w:rFonts w:hint="eastAsia" w:eastAsia="黑体"/>
          <w:szCs w:val="22"/>
        </w:rPr>
        <w:t xml:space="preserve">2 </w:t>
      </w:r>
      <w:r>
        <w:rPr>
          <w:rFonts w:eastAsia="黑体"/>
          <w:kern w:val="0"/>
          <w:szCs w:val="21"/>
        </w:rPr>
        <w:t>地膜</w:t>
      </w:r>
      <w:r>
        <w:rPr>
          <w:rFonts w:hint="eastAsia" w:eastAsia="黑体"/>
          <w:kern w:val="0"/>
          <w:szCs w:val="21"/>
        </w:rPr>
        <w:t>覆盖</w:t>
      </w:r>
      <w:r>
        <w:rPr>
          <w:rFonts w:hint="eastAsia" w:eastAsia="黑体"/>
          <w:szCs w:val="22"/>
        </w:rPr>
        <w:t>集雨面</w:t>
      </w:r>
      <w:r>
        <w:rPr>
          <w:rFonts w:eastAsia="黑体"/>
          <w:szCs w:val="22"/>
        </w:rPr>
        <w:t xml:space="preserve"> </w:t>
      </w:r>
      <w:r>
        <w:rPr>
          <w:rFonts w:hint="eastAsia" w:eastAsia="黑体"/>
          <w:kern w:val="0"/>
          <w:szCs w:val="21"/>
        </w:rPr>
        <w:t>M</w:t>
      </w:r>
      <w:r>
        <w:rPr>
          <w:rFonts w:eastAsia="黑体"/>
          <w:kern w:val="0"/>
          <w:szCs w:val="21"/>
        </w:rPr>
        <w:t>ulched rain</w:t>
      </w:r>
      <w:r>
        <w:rPr>
          <w:rFonts w:eastAsia="黑体"/>
          <w:kern w:val="0"/>
          <w:szCs w:val="21"/>
        </w:rPr>
        <w:noBreakHyphen/>
      </w:r>
      <w:r>
        <w:rPr>
          <w:rFonts w:eastAsia="黑体"/>
          <w:kern w:val="0"/>
          <w:szCs w:val="21"/>
        </w:rPr>
        <w:t>harvesting surface</w:t>
      </w:r>
    </w:p>
    <w:p w14:paraId="26E38EB0">
      <w:pPr>
        <w:spacing w:after="120" w:afterLines="50"/>
        <w:ind w:firstLine="420" w:firstLineChars="200"/>
      </w:pPr>
      <w:r>
        <w:t>对集雨微地形进行地膜覆盖后形成的雨水汇集区域。</w:t>
      </w:r>
    </w:p>
    <w:p w14:paraId="1DF623FA">
      <w:pPr>
        <w:spacing w:after="120" w:afterLines="50"/>
        <w:ind w:firstLine="420" w:firstLineChars="200"/>
        <w:rPr>
          <w:rFonts w:eastAsia="黑体"/>
          <w:kern w:val="0"/>
          <w:szCs w:val="21"/>
        </w:rPr>
      </w:pPr>
      <w:r>
        <w:rPr>
          <w:rFonts w:hint="eastAsia" w:eastAsia="黑体"/>
          <w:kern w:val="0"/>
          <w:szCs w:val="21"/>
        </w:rPr>
        <w:t>3.3 地膜覆盖度 G</w:t>
      </w:r>
      <w:r>
        <w:rPr>
          <w:rFonts w:eastAsia="黑体"/>
          <w:kern w:val="0"/>
          <w:szCs w:val="21"/>
        </w:rPr>
        <w:t>round</w:t>
      </w:r>
      <w:r>
        <w:rPr>
          <w:rFonts w:eastAsia="黑体"/>
          <w:kern w:val="0"/>
          <w:szCs w:val="21"/>
        </w:rPr>
        <w:noBreakHyphen/>
      </w:r>
      <w:r>
        <w:rPr>
          <w:rFonts w:eastAsia="黑体"/>
          <w:kern w:val="0"/>
          <w:szCs w:val="21"/>
        </w:rPr>
        <w:t>cover fraction</w:t>
      </w:r>
    </w:p>
    <w:p w14:paraId="6FC89759">
      <w:pPr>
        <w:spacing w:after="120" w:afterLines="50"/>
        <w:ind w:firstLine="420" w:firstLineChars="200"/>
      </w:pPr>
      <w:r>
        <w:rPr>
          <w:rFonts w:hint="eastAsia"/>
        </w:rPr>
        <w:t>在同一集雨面下，地膜覆盖区域占整体集雨面的百分比。</w:t>
      </w:r>
    </w:p>
    <w:bookmarkEnd w:id="28"/>
    <w:p w14:paraId="7EEC8A9E">
      <w:pPr>
        <w:pStyle w:val="27"/>
        <w:spacing w:before="240" w:beforeLines="0" w:after="240" w:afterLines="0" w:line="400" w:lineRule="exact"/>
        <w:ind w:left="425"/>
        <w:rPr>
          <w:rFonts w:ascii="Times New Roman"/>
        </w:rPr>
      </w:pPr>
      <w:bookmarkStart w:id="29" w:name="_Toc240880673"/>
      <w:r>
        <w:rPr>
          <w:rFonts w:hint="eastAsia" w:ascii="Times New Roman"/>
        </w:rPr>
        <w:t>总体要求</w:t>
      </w:r>
      <w:bookmarkEnd w:id="29"/>
    </w:p>
    <w:p w14:paraId="68F3AEDA">
      <w:pPr>
        <w:adjustRightInd w:val="0"/>
        <w:snapToGrid w:val="0"/>
        <w:spacing w:before="120" w:beforeLines="50" w:after="120" w:afterLines="50" w:line="360" w:lineRule="auto"/>
        <w:ind w:firstLine="420" w:firstLineChars="200"/>
        <w:rPr>
          <w:rFonts w:hint="eastAsia" w:ascii="黑体" w:hAnsi="黑体" w:eastAsia="黑体" w:cs="Arial"/>
          <w:szCs w:val="22"/>
        </w:rPr>
      </w:pPr>
      <w:bookmarkStart w:id="30" w:name="OLE_LINK4"/>
      <w:r>
        <w:rPr>
          <w:rFonts w:hint="eastAsia" w:ascii="黑体" w:hAnsi="黑体" w:eastAsia="黑体" w:cs="Arial"/>
          <w:szCs w:val="22"/>
        </w:rPr>
        <w:t>4.1 总体原则</w:t>
      </w:r>
    </w:p>
    <w:p w14:paraId="73655400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szCs w:val="22"/>
        </w:rPr>
        <w:t>黄土高原区降水资源稀少、蒸发量大。</w:t>
      </w:r>
      <w:r>
        <w:rPr>
          <w:szCs w:val="22"/>
        </w:rPr>
        <w:t>本技术以高效利用降水资源为目标，遵循</w:t>
      </w:r>
      <w:r>
        <w:rPr>
          <w:rFonts w:hint="eastAsia"/>
          <w:szCs w:val="22"/>
        </w:rPr>
        <w:t>降水汇集叠加、</w:t>
      </w:r>
      <w:r>
        <w:rPr>
          <w:szCs w:val="22"/>
        </w:rPr>
        <w:t>覆盖抑制蒸发</w:t>
      </w:r>
      <w:r>
        <w:rPr>
          <w:rFonts w:hint="eastAsia"/>
          <w:szCs w:val="22"/>
        </w:rPr>
        <w:t>、</w:t>
      </w:r>
      <w:r>
        <w:rPr>
          <w:szCs w:val="22"/>
        </w:rPr>
        <w:t>提升土壤蓄水保墒能力</w:t>
      </w:r>
      <w:r>
        <w:rPr>
          <w:rFonts w:hint="eastAsia"/>
          <w:szCs w:val="22"/>
        </w:rPr>
        <w:t>的技术原则</w:t>
      </w:r>
      <w:r>
        <w:rPr>
          <w:szCs w:val="22"/>
        </w:rPr>
        <w:t>。</w:t>
      </w:r>
    </w:p>
    <w:p w14:paraId="538EC569">
      <w:pPr>
        <w:adjustRightInd w:val="0"/>
        <w:snapToGrid w:val="0"/>
        <w:spacing w:before="120" w:beforeLines="50" w:after="120" w:afterLines="50" w:line="360" w:lineRule="auto"/>
        <w:ind w:firstLine="420" w:firstLineChars="200"/>
        <w:rPr>
          <w:rFonts w:hint="eastAsia" w:ascii="黑体" w:hAnsi="黑体" w:eastAsia="黑体" w:cs="Arial"/>
          <w:szCs w:val="22"/>
        </w:rPr>
      </w:pPr>
      <w:r>
        <w:rPr>
          <w:rFonts w:hint="eastAsia" w:ascii="黑体" w:hAnsi="黑体" w:eastAsia="黑体" w:cs="Arial"/>
          <w:szCs w:val="22"/>
        </w:rPr>
        <w:t>4.2 地膜</w:t>
      </w:r>
    </w:p>
    <w:p w14:paraId="7182D3F4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szCs w:val="22"/>
        </w:rPr>
        <w:t>地膜性能应符合GB 13735的要求</w:t>
      </w:r>
      <w:r>
        <w:rPr>
          <w:rFonts w:hint="eastAsia"/>
          <w:szCs w:val="22"/>
        </w:rPr>
        <w:t>；降解地膜应符合</w:t>
      </w:r>
      <w:r>
        <w:rPr>
          <w:szCs w:val="22"/>
        </w:rPr>
        <w:t>GB/T 35795</w:t>
      </w:r>
      <w:r>
        <w:rPr>
          <w:rFonts w:hint="eastAsia"/>
          <w:szCs w:val="22"/>
        </w:rPr>
        <w:t>的要求。</w:t>
      </w:r>
    </w:p>
    <w:p w14:paraId="1CBAF629">
      <w:pPr>
        <w:adjustRightInd w:val="0"/>
        <w:snapToGrid w:val="0"/>
        <w:spacing w:before="120" w:beforeLines="50" w:after="120" w:afterLines="50" w:line="360" w:lineRule="auto"/>
        <w:ind w:firstLine="420" w:firstLineChars="200"/>
        <w:rPr>
          <w:rFonts w:hint="eastAsia" w:ascii="黑体" w:hAnsi="黑体" w:eastAsia="黑体" w:cs="Arial"/>
          <w:szCs w:val="22"/>
        </w:rPr>
      </w:pPr>
      <w:r>
        <w:rPr>
          <w:rFonts w:hint="eastAsia" w:ascii="黑体" w:hAnsi="黑体" w:eastAsia="黑体" w:cs="Arial"/>
          <w:szCs w:val="22"/>
        </w:rPr>
        <w:t>4.3 农业机具</w:t>
      </w:r>
    </w:p>
    <w:p w14:paraId="27382A48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szCs w:val="22"/>
        </w:rPr>
        <w:t>执行过程中采用全程机械化，机具要求应按照</w:t>
      </w:r>
      <w:r>
        <w:rPr>
          <w:szCs w:val="22"/>
        </w:rPr>
        <w:t>GB 10395.1</w:t>
      </w:r>
      <w:r>
        <w:rPr>
          <w:rFonts w:hint="eastAsia"/>
          <w:szCs w:val="22"/>
        </w:rPr>
        <w:t>执行。</w:t>
      </w:r>
    </w:p>
    <w:p w14:paraId="30BADD88">
      <w:pPr>
        <w:adjustRightInd w:val="0"/>
        <w:snapToGrid w:val="0"/>
        <w:spacing w:before="120" w:beforeLines="50" w:after="120" w:afterLines="50" w:line="360" w:lineRule="auto"/>
        <w:ind w:firstLine="420" w:firstLineChars="200"/>
        <w:rPr>
          <w:rFonts w:hint="eastAsia" w:ascii="黑体" w:hAnsi="黑体" w:eastAsia="黑体" w:cs="Arial"/>
          <w:szCs w:val="22"/>
        </w:rPr>
      </w:pPr>
      <w:r>
        <w:rPr>
          <w:rFonts w:hint="eastAsia" w:ascii="黑体" w:hAnsi="黑体" w:eastAsia="黑体" w:cs="Arial"/>
          <w:szCs w:val="22"/>
        </w:rPr>
        <w:t>4.3 化肥用量</w:t>
      </w:r>
    </w:p>
    <w:p w14:paraId="354C9FE5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color w:val="000000"/>
          <w:szCs w:val="21"/>
        </w:rPr>
        <w:t>缓释肥应按照</w:t>
      </w:r>
      <w:r>
        <w:rPr>
          <w:color w:val="000000"/>
          <w:szCs w:val="21"/>
        </w:rPr>
        <w:t>GB/T 23348</w:t>
      </w:r>
      <w:r>
        <w:rPr>
          <w:rFonts w:hint="eastAsia"/>
          <w:color w:val="000000"/>
          <w:szCs w:val="21"/>
        </w:rPr>
        <w:t>执行。肥</w:t>
      </w:r>
      <w:r>
        <w:rPr>
          <w:rFonts w:hint="eastAsia" w:ascii="Arial" w:hAnsi="Arial" w:cs="Arial"/>
          <w:szCs w:val="22"/>
        </w:rPr>
        <w:t>料用料可根据当地玉米产量和降水量情况而定，产量目标和降水量推荐施肥参见附录A。</w:t>
      </w:r>
      <w:r>
        <w:rPr>
          <w:rFonts w:hint="eastAsia"/>
          <w:color w:val="000000"/>
          <w:szCs w:val="21"/>
        </w:rPr>
        <w:t>有条件地区可使用家禽粪肥，施用量为30 t/hm</w:t>
      </w:r>
      <w:r>
        <w:rPr>
          <w:rFonts w:hint="eastAsia"/>
          <w:color w:val="000000"/>
          <w:szCs w:val="21"/>
          <w:vertAlign w:val="superscript"/>
        </w:rPr>
        <w:t>2</w:t>
      </w:r>
      <w:r>
        <w:rPr>
          <w:rFonts w:hint="eastAsia"/>
          <w:color w:val="000000"/>
          <w:szCs w:val="21"/>
        </w:rPr>
        <w:t>，家禽粪肥</w:t>
      </w:r>
      <w:r>
        <w:rPr>
          <w:rFonts w:hint="eastAsia"/>
          <w:szCs w:val="22"/>
        </w:rPr>
        <w:t>应符合</w:t>
      </w:r>
      <w:r>
        <w:rPr>
          <w:szCs w:val="22"/>
        </w:rPr>
        <w:t>GB 47500</w:t>
      </w:r>
      <w:r>
        <w:rPr>
          <w:rFonts w:hint="eastAsia"/>
          <w:szCs w:val="22"/>
        </w:rPr>
        <w:t>的要求。</w:t>
      </w:r>
    </w:p>
    <w:p w14:paraId="060D66DE">
      <w:pPr>
        <w:adjustRightInd w:val="0"/>
        <w:snapToGrid w:val="0"/>
        <w:spacing w:before="120" w:beforeLines="50" w:after="120" w:afterLines="50" w:line="360" w:lineRule="auto"/>
        <w:ind w:firstLine="420" w:firstLineChars="200"/>
        <w:rPr>
          <w:rFonts w:hint="eastAsia" w:ascii="黑体" w:hAnsi="黑体" w:eastAsia="黑体" w:cs="Arial"/>
          <w:szCs w:val="22"/>
        </w:rPr>
      </w:pPr>
      <w:r>
        <w:rPr>
          <w:rFonts w:hint="eastAsia" w:ascii="黑体" w:hAnsi="黑体" w:eastAsia="黑体" w:cs="Arial"/>
          <w:szCs w:val="22"/>
        </w:rPr>
        <w:t>4.4 种子</w:t>
      </w:r>
    </w:p>
    <w:p w14:paraId="5023F0A9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color w:val="000000"/>
          <w:szCs w:val="21"/>
        </w:rPr>
        <w:t>种子应符合</w:t>
      </w:r>
      <w:r>
        <w:rPr>
          <w:color w:val="000000"/>
          <w:szCs w:val="21"/>
        </w:rPr>
        <w:t>GB 4404.1</w:t>
      </w:r>
      <w:r>
        <w:rPr>
          <w:rFonts w:hint="eastAsia"/>
          <w:color w:val="000000"/>
          <w:szCs w:val="21"/>
        </w:rPr>
        <w:t>的</w:t>
      </w:r>
      <w:r>
        <w:rPr>
          <w:color w:val="000000"/>
          <w:szCs w:val="21"/>
        </w:rPr>
        <w:t>要求。</w:t>
      </w:r>
      <w:r>
        <w:rPr>
          <w:rFonts w:hint="eastAsia"/>
          <w:color w:val="000000"/>
          <w:szCs w:val="21"/>
        </w:rPr>
        <w:t>海拔在1500m以下建议选用中晚熟品种；海拔在1500m~2000m选用中熟品种，海拔2000m以上区域选用中早熟品种。</w:t>
      </w:r>
    </w:p>
    <w:p w14:paraId="29767C89">
      <w:pPr>
        <w:adjustRightInd w:val="0"/>
        <w:snapToGrid w:val="0"/>
        <w:spacing w:before="120" w:beforeLines="50" w:after="120" w:afterLines="50" w:line="360" w:lineRule="auto"/>
        <w:ind w:firstLine="420" w:firstLineChars="200"/>
        <w:rPr>
          <w:rFonts w:hint="eastAsia" w:ascii="黑体" w:hAnsi="黑体" w:eastAsia="黑体" w:cs="Arial"/>
          <w:szCs w:val="22"/>
        </w:rPr>
      </w:pPr>
      <w:r>
        <w:rPr>
          <w:rFonts w:hint="eastAsia" w:ascii="黑体" w:hAnsi="黑体" w:eastAsia="黑体" w:cs="Arial"/>
          <w:szCs w:val="22"/>
        </w:rPr>
        <w:t>4.5 种植密度</w:t>
      </w:r>
    </w:p>
    <w:p w14:paraId="18D4D909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szCs w:val="22"/>
        </w:rPr>
        <w:t>种植密度以当地降水量和土壤肥力情况而定，年降水量为300~450mm区域播种密度宜为45000~67500株/hm</w:t>
      </w:r>
      <w:r>
        <w:rPr>
          <w:rFonts w:hint="eastAsia"/>
          <w:szCs w:val="22"/>
          <w:vertAlign w:val="superscript"/>
        </w:rPr>
        <w:t>2</w:t>
      </w:r>
      <w:r>
        <w:rPr>
          <w:rFonts w:hint="eastAsia"/>
          <w:szCs w:val="22"/>
        </w:rPr>
        <w:t>，年降水量为450~600mm的区域宜为67500~90000株/hm</w:t>
      </w:r>
      <w:r>
        <w:rPr>
          <w:rFonts w:hint="eastAsia"/>
          <w:szCs w:val="22"/>
          <w:vertAlign w:val="superscript"/>
        </w:rPr>
        <w:t>2</w:t>
      </w:r>
      <w:r>
        <w:rPr>
          <w:rFonts w:hint="eastAsia"/>
          <w:szCs w:val="22"/>
        </w:rPr>
        <w:t>。</w:t>
      </w:r>
      <w:r>
        <w:rPr>
          <w:rFonts w:hint="eastAsia"/>
          <w:color w:val="000000"/>
          <w:szCs w:val="21"/>
        </w:rPr>
        <w:t>播种时在目标密度基础上宜增密10%±2%。</w:t>
      </w:r>
    </w:p>
    <w:bookmarkEnd w:id="30"/>
    <w:p w14:paraId="266301B9">
      <w:pPr>
        <w:pStyle w:val="27"/>
        <w:spacing w:before="240" w:beforeLines="0" w:after="240" w:afterLines="0" w:line="400" w:lineRule="exact"/>
        <w:ind w:left="425"/>
        <w:rPr>
          <w:rFonts w:ascii="Times New Roman"/>
        </w:rPr>
      </w:pPr>
      <w:bookmarkStart w:id="31" w:name="_Toc240880674"/>
      <w:r>
        <w:rPr>
          <w:rFonts w:hint="eastAsia" w:ascii="Times New Roman"/>
        </w:rPr>
        <w:t>覆膜集雨要求</w:t>
      </w:r>
      <w:bookmarkEnd w:id="31"/>
    </w:p>
    <w:p w14:paraId="7750A276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bookmarkStart w:id="32" w:name="OLE_LINK26"/>
      <w:r>
        <w:rPr>
          <w:szCs w:val="22"/>
        </w:rPr>
        <w:t>黄土高原年降水量 300 mm～600 mm 旱作区，应根据年降水量选择适宜的覆膜集雨模式与覆盖材料，模式参数见附录 B。本</w:t>
      </w:r>
      <w:r>
        <w:rPr>
          <w:rFonts w:hint="eastAsia"/>
          <w:szCs w:val="22"/>
        </w:rPr>
        <w:t>文件</w:t>
      </w:r>
      <w:r>
        <w:rPr>
          <w:szCs w:val="22"/>
        </w:rPr>
        <w:t>适用的集雨微地形主要包括双垄沟、单垄和 U 型沟三种类型。</w:t>
      </w:r>
    </w:p>
    <w:p w14:paraId="7B2BDB4A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szCs w:val="22"/>
        </w:rPr>
        <w:t>5.1 双垄沟</w:t>
      </w:r>
    </w:p>
    <w:p w14:paraId="58A93044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color w:val="000000"/>
          <w:szCs w:val="21"/>
        </w:rPr>
        <w:t>大小垄交替构成的雨水向沟内汇集的微地形，地膜全地面覆盖抑蒸，玉米播种在沟内呈宽窄行。全膜双垄沟按照NY/T 2686规则执行。</w:t>
      </w:r>
    </w:p>
    <w:p w14:paraId="1E238A3B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szCs w:val="22"/>
        </w:rPr>
        <w:t>5.2 单垄</w:t>
      </w:r>
    </w:p>
    <w:p w14:paraId="13B5A197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szCs w:val="22"/>
        </w:rPr>
        <w:t>田间起垄，降水向垄体两侧汇集；垄体表面覆膜抑蒸，垄间地表裸露；玉米播种在垄体两侧，形成宽窄行布局。</w:t>
      </w:r>
    </w:p>
    <w:p w14:paraId="7BEB9A52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szCs w:val="22"/>
        </w:rPr>
        <w:t>5.3 U型沟</w:t>
      </w:r>
    </w:p>
    <w:p w14:paraId="28AF0C70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szCs w:val="22"/>
        </w:rPr>
        <w:t>田间开挖 U 型种植沟，降水向沟底汇集；沟内覆膜抑蒸，沟间地表裸露；玉米播种于 U 型沟底部，沟‑沟之间为等行距布局</w:t>
      </w:r>
      <w:r>
        <w:rPr>
          <w:rFonts w:hint="eastAsia"/>
          <w:szCs w:val="22"/>
        </w:rPr>
        <w:t>。</w:t>
      </w:r>
    </w:p>
    <w:p w14:paraId="08BBB83F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szCs w:val="22"/>
        </w:rPr>
        <w:t>5.4 覆盖集雨</w:t>
      </w:r>
    </w:p>
    <w:p w14:paraId="63A9CA69">
      <w:pPr>
        <w:adjustRightInd w:val="0"/>
        <w:snapToGrid w:val="0"/>
        <w:spacing w:line="360" w:lineRule="auto"/>
        <w:ind w:firstLine="420" w:firstLineChars="200"/>
        <w:rPr>
          <w:szCs w:val="22"/>
        </w:rPr>
      </w:pPr>
      <w:r>
        <w:rPr>
          <w:rFonts w:hint="eastAsia"/>
          <w:szCs w:val="22"/>
        </w:rPr>
        <w:t>根据当地年降雨量选择不同微地形构型，</w:t>
      </w:r>
      <w:r>
        <w:t>配套地膜覆盖实现抑蒸集雨。</w:t>
      </w:r>
    </w:p>
    <w:bookmarkEnd w:id="32"/>
    <w:p w14:paraId="26A0796E">
      <w:pPr>
        <w:pStyle w:val="27"/>
        <w:spacing w:before="240" w:beforeLines="0" w:after="240" w:afterLines="0" w:line="400" w:lineRule="exact"/>
        <w:ind w:left="425"/>
        <w:rPr>
          <w:rFonts w:ascii="Times New Roman"/>
        </w:rPr>
      </w:pPr>
      <w:bookmarkStart w:id="33" w:name="_Toc233300149"/>
      <w:bookmarkEnd w:id="33"/>
      <w:bookmarkStart w:id="34" w:name="_Toc233300150"/>
      <w:bookmarkEnd w:id="34"/>
      <w:bookmarkStart w:id="35" w:name="_Toc233300151"/>
      <w:bookmarkEnd w:id="35"/>
      <w:bookmarkStart w:id="36" w:name="_Toc233300152"/>
      <w:bookmarkEnd w:id="36"/>
      <w:bookmarkStart w:id="37" w:name="_Toc240880675"/>
      <w:r>
        <w:rPr>
          <w:rFonts w:hint="eastAsia" w:ascii="Times New Roman"/>
        </w:rPr>
        <w:t>选地</w:t>
      </w:r>
      <w:bookmarkEnd w:id="37"/>
    </w:p>
    <w:p w14:paraId="17068EBE">
      <w:pPr>
        <w:adjustRightInd w:val="0"/>
        <w:snapToGrid w:val="0"/>
        <w:spacing w:before="120" w:beforeLines="50" w:after="120" w:afterLines="50" w:line="360" w:lineRule="auto"/>
        <w:ind w:firstLine="420"/>
        <w:rPr>
          <w:szCs w:val="22"/>
        </w:rPr>
      </w:pPr>
      <w:bookmarkStart w:id="38" w:name="OLE_LINK27"/>
      <w:r>
        <w:rPr>
          <w:rFonts w:hint="eastAsia"/>
          <w:szCs w:val="22"/>
        </w:rPr>
        <w:t>地块应处于年降水量</w:t>
      </w:r>
      <w:r>
        <w:rPr>
          <w:szCs w:val="22"/>
        </w:rPr>
        <w:t xml:space="preserve"> 300 mm</w:t>
      </w:r>
      <w:r>
        <w:rPr>
          <w:rFonts w:hint="eastAsia"/>
          <w:szCs w:val="22"/>
        </w:rPr>
        <w:t>～</w:t>
      </w:r>
      <w:r>
        <w:rPr>
          <w:szCs w:val="22"/>
        </w:rPr>
        <w:t xml:space="preserve">600 mm </w:t>
      </w:r>
      <w:r>
        <w:rPr>
          <w:rFonts w:hint="eastAsia"/>
          <w:szCs w:val="22"/>
        </w:rPr>
        <w:t>旱作玉米种植区，产地环境应符合</w:t>
      </w:r>
      <w:r>
        <w:rPr>
          <w:szCs w:val="22"/>
        </w:rPr>
        <w:t xml:space="preserve"> NY/T 849 </w:t>
      </w:r>
      <w:r>
        <w:rPr>
          <w:rFonts w:hint="eastAsia"/>
          <w:szCs w:val="22"/>
        </w:rPr>
        <w:t>的要求。</w:t>
      </w:r>
    </w:p>
    <w:p w14:paraId="370756A9">
      <w:pPr>
        <w:adjustRightInd w:val="0"/>
        <w:snapToGrid w:val="0"/>
        <w:spacing w:before="120" w:beforeLines="50" w:after="120" w:afterLines="50" w:line="360" w:lineRule="auto"/>
        <w:ind w:firstLine="420"/>
        <w:rPr>
          <w:szCs w:val="22"/>
        </w:rPr>
      </w:pPr>
      <w:r>
        <w:rPr>
          <w:rFonts w:hint="eastAsia"/>
          <w:szCs w:val="22"/>
        </w:rPr>
        <w:t>优先选择地势平坦、土层深厚、肥力中等、土壤通透性良好、适宜机械化作业的地块，土壤有机质含量≥</w:t>
      </w:r>
      <w:r>
        <w:rPr>
          <w:szCs w:val="22"/>
        </w:rPr>
        <w:t>10 g/kg</w:t>
      </w:r>
      <w:r>
        <w:rPr>
          <w:rFonts w:hint="eastAsia"/>
          <w:szCs w:val="22"/>
        </w:rPr>
        <w:t>。</w:t>
      </w:r>
    </w:p>
    <w:bookmarkEnd w:id="38"/>
    <w:p w14:paraId="1655ACAE">
      <w:pPr>
        <w:pStyle w:val="27"/>
        <w:spacing w:before="240" w:beforeLines="0" w:after="240" w:afterLines="0" w:line="400" w:lineRule="exact"/>
        <w:ind w:left="425"/>
        <w:rPr>
          <w:rFonts w:ascii="Times New Roman"/>
        </w:rPr>
      </w:pPr>
      <w:bookmarkStart w:id="39" w:name="_Toc240880676"/>
      <w:r>
        <w:rPr>
          <w:rFonts w:hint="eastAsia" w:ascii="Times New Roman"/>
        </w:rPr>
        <w:t>整地</w:t>
      </w:r>
      <w:bookmarkEnd w:id="39"/>
    </w:p>
    <w:p w14:paraId="31CD1E1D">
      <w:pPr>
        <w:pStyle w:val="10"/>
        <w:spacing w:line="360" w:lineRule="auto"/>
        <w:ind w:firstLine="573"/>
        <w:rPr>
          <w:rFonts w:ascii="Times New Roman" w:hAnsi="Times New Roman"/>
          <w:color w:val="000000"/>
          <w:sz w:val="21"/>
          <w:szCs w:val="21"/>
        </w:rPr>
      </w:pPr>
      <w:bookmarkStart w:id="40" w:name="OLE_LINK28"/>
      <w:r>
        <w:rPr>
          <w:rFonts w:hint="eastAsia" w:ascii="Times New Roman" w:hAnsi="Times New Roman"/>
          <w:color w:val="000000"/>
          <w:sz w:val="21"/>
          <w:szCs w:val="21"/>
        </w:rPr>
        <w:t>7.1 灭茬</w:t>
      </w:r>
    </w:p>
    <w:p w14:paraId="0BCE693C">
      <w:pPr>
        <w:pStyle w:val="10"/>
        <w:spacing w:line="360" w:lineRule="auto"/>
        <w:ind w:firstLine="573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前茬作物收获后采用灭茬机械进行灭茬，</w:t>
      </w:r>
      <w:r>
        <w:rPr>
          <w:rFonts w:ascii="Times New Roman" w:hAnsi="Times New Roman"/>
          <w:color w:val="000000"/>
          <w:sz w:val="21"/>
          <w:szCs w:val="21"/>
        </w:rPr>
        <w:t>秸秆粉碎长度应≤</w:t>
      </w:r>
      <w:r>
        <w:rPr>
          <w:rFonts w:hint="eastAsia" w:ascii="Times New Roman" w:hAnsi="Times New Roman"/>
          <w:color w:val="000000"/>
          <w:sz w:val="21"/>
          <w:szCs w:val="21"/>
        </w:rPr>
        <w:t xml:space="preserve">7 </w:t>
      </w:r>
      <w:r>
        <w:rPr>
          <w:rFonts w:ascii="Times New Roman" w:hAnsi="Times New Roman"/>
          <w:color w:val="000000"/>
          <w:sz w:val="21"/>
          <w:szCs w:val="21"/>
        </w:rPr>
        <w:t>cm</w:t>
      </w:r>
      <w:r>
        <w:rPr>
          <w:rFonts w:hint="eastAsia" w:ascii="Times New Roman" w:hAnsi="Times New Roman"/>
          <w:color w:val="000000"/>
          <w:sz w:val="21"/>
          <w:szCs w:val="21"/>
        </w:rPr>
        <w:t>，粉碎后的秸秆均匀铺撒在</w:t>
      </w:r>
      <w:r>
        <w:rPr>
          <w:rFonts w:ascii="Times New Roman" w:hAnsi="Times New Roman"/>
          <w:color w:val="000000"/>
          <w:sz w:val="21"/>
          <w:szCs w:val="21"/>
        </w:rPr>
        <w:t>地表覆盖保墒。</w:t>
      </w:r>
      <w:r>
        <w:rPr>
          <w:rFonts w:hint="eastAsia" w:ascii="Times New Roman" w:hAnsi="Times New Roman"/>
          <w:color w:val="000000"/>
          <w:sz w:val="21"/>
          <w:szCs w:val="21"/>
        </w:rPr>
        <w:t>有条件地区可适当镇压。</w:t>
      </w:r>
    </w:p>
    <w:p w14:paraId="011D2DC9">
      <w:pPr>
        <w:pStyle w:val="10"/>
        <w:spacing w:line="360" w:lineRule="auto"/>
        <w:ind w:firstLine="573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7.2</w:t>
      </w:r>
      <w:r>
        <w:rPr>
          <w:rFonts w:ascii="Times New Roman" w:hAnsi="Times New Roman"/>
          <w:color w:val="000000"/>
          <w:sz w:val="21"/>
          <w:szCs w:val="21"/>
        </w:rPr>
        <w:t xml:space="preserve"> </w:t>
      </w:r>
      <w:r>
        <w:rPr>
          <w:rFonts w:hint="eastAsia" w:ascii="Times New Roman" w:hAnsi="Times New Roman"/>
          <w:color w:val="000000"/>
          <w:sz w:val="21"/>
          <w:szCs w:val="21"/>
        </w:rPr>
        <w:t>翻耕</w:t>
      </w:r>
    </w:p>
    <w:p w14:paraId="08A7D800">
      <w:pPr>
        <w:pStyle w:val="10"/>
        <w:spacing w:line="360" w:lineRule="auto"/>
        <w:ind w:firstLine="573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在春季</w:t>
      </w:r>
      <w:r>
        <w:rPr>
          <w:rFonts w:ascii="Times New Roman" w:hAnsi="Times New Roman"/>
          <w:color w:val="000000"/>
          <w:sz w:val="21"/>
          <w:szCs w:val="21"/>
        </w:rPr>
        <w:t>3月底至4月初深耕耱耙，</w:t>
      </w:r>
      <w:r>
        <w:rPr>
          <w:rFonts w:hint="eastAsia" w:ascii="Times New Roman" w:hAnsi="Times New Roman"/>
          <w:color w:val="000000"/>
          <w:sz w:val="21"/>
          <w:szCs w:val="21"/>
        </w:rPr>
        <w:t>将地表残茬翻耕还田，还田深度宜在30cm以上，</w:t>
      </w:r>
      <w:r>
        <w:rPr>
          <w:rFonts w:ascii="Times New Roman" w:hAnsi="Times New Roman"/>
          <w:color w:val="000000"/>
          <w:sz w:val="21"/>
          <w:szCs w:val="21"/>
        </w:rPr>
        <w:t>翻耕深度30</w:t>
      </w:r>
      <w:r>
        <w:rPr>
          <w:rFonts w:hint="eastAsia" w:ascii="Times New Roman" w:hAnsi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/>
          <w:color w:val="000000"/>
          <w:sz w:val="21"/>
          <w:szCs w:val="21"/>
        </w:rPr>
        <w:t>cm~35</w:t>
      </w:r>
      <w:r>
        <w:rPr>
          <w:rFonts w:hint="eastAsia" w:ascii="Times New Roman" w:hAnsi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/>
          <w:color w:val="000000"/>
          <w:sz w:val="21"/>
          <w:szCs w:val="21"/>
        </w:rPr>
        <w:t>cm</w:t>
      </w:r>
      <w:r>
        <w:rPr>
          <w:rFonts w:hint="eastAsia" w:ascii="Times New Roman" w:hAnsi="Times New Roman"/>
          <w:color w:val="000000"/>
          <w:sz w:val="21"/>
          <w:szCs w:val="21"/>
        </w:rPr>
        <w:t>。</w:t>
      </w:r>
      <w:r>
        <w:rPr>
          <w:rFonts w:ascii="Times New Roman" w:hAnsi="Times New Roman"/>
          <w:color w:val="000000"/>
          <w:sz w:val="21"/>
          <w:szCs w:val="21"/>
        </w:rPr>
        <w:t>耕幅、耕深一致，不重耕、漏耕。</w:t>
      </w:r>
    </w:p>
    <w:p w14:paraId="74FAD93C">
      <w:pPr>
        <w:pStyle w:val="10"/>
        <w:spacing w:line="360" w:lineRule="auto"/>
        <w:ind w:firstLine="573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7.3</w:t>
      </w:r>
      <w:r>
        <w:rPr>
          <w:rFonts w:ascii="Times New Roman" w:hAnsi="Times New Roman"/>
          <w:color w:val="000000"/>
          <w:sz w:val="21"/>
          <w:szCs w:val="21"/>
        </w:rPr>
        <w:t xml:space="preserve"> </w:t>
      </w:r>
      <w:r>
        <w:rPr>
          <w:rFonts w:hint="eastAsia" w:ascii="Times New Roman" w:hAnsi="Times New Roman"/>
          <w:color w:val="000000"/>
          <w:sz w:val="21"/>
          <w:szCs w:val="21"/>
        </w:rPr>
        <w:t>地下害虫防治</w:t>
      </w:r>
    </w:p>
    <w:p w14:paraId="2F5AFB52">
      <w:pPr>
        <w:pStyle w:val="10"/>
        <w:spacing w:line="360" w:lineRule="auto"/>
        <w:ind w:firstLine="573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翻耕</w:t>
      </w:r>
      <w:r>
        <w:rPr>
          <w:rFonts w:hint="eastAsia" w:ascii="Times New Roman" w:hAnsi="Times New Roman"/>
          <w:color w:val="000000"/>
          <w:sz w:val="21"/>
          <w:szCs w:val="21"/>
        </w:rPr>
        <w:t>整地</w:t>
      </w:r>
      <w:r>
        <w:rPr>
          <w:rFonts w:ascii="Times New Roman" w:hAnsi="Times New Roman"/>
          <w:color w:val="000000"/>
          <w:sz w:val="21"/>
          <w:szCs w:val="21"/>
        </w:rPr>
        <w:t>前</w:t>
      </w:r>
      <w:r>
        <w:rPr>
          <w:rFonts w:hint="eastAsia" w:ascii="Times New Roman" w:hAnsi="Times New Roman"/>
          <w:color w:val="000000"/>
          <w:sz w:val="21"/>
          <w:szCs w:val="21"/>
        </w:rPr>
        <w:t>，</w:t>
      </w:r>
      <w:r>
        <w:rPr>
          <w:rFonts w:ascii="Times New Roman" w:hAnsi="Times New Roman"/>
          <w:color w:val="000000"/>
          <w:sz w:val="21"/>
          <w:szCs w:val="21"/>
        </w:rPr>
        <w:t>用</w:t>
      </w:r>
      <w:r>
        <w:rPr>
          <w:rFonts w:ascii="Times New Roman" w:hAnsi="Times New Roman"/>
          <w:kern w:val="0"/>
          <w:sz w:val="21"/>
          <w:szCs w:val="21"/>
        </w:rPr>
        <w:t>5%辛硫磷GR45</w:t>
      </w:r>
      <w:r>
        <w:rPr>
          <w:rFonts w:hint="eastAsia" w:ascii="Times New Roman" w:hAnsi="Times New Roman"/>
          <w:kern w:val="0"/>
          <w:sz w:val="21"/>
          <w:szCs w:val="21"/>
        </w:rPr>
        <w:t xml:space="preserve"> </w:t>
      </w:r>
      <w:r>
        <w:rPr>
          <w:rFonts w:ascii="Times New Roman" w:hAnsi="Times New Roman"/>
          <w:kern w:val="0"/>
          <w:sz w:val="21"/>
          <w:szCs w:val="21"/>
        </w:rPr>
        <w:t>kg/hm²加土均匀撒施后深翻</w:t>
      </w:r>
      <w:r>
        <w:rPr>
          <w:rFonts w:ascii="Times New Roman" w:hAnsi="Times New Roman"/>
          <w:color w:val="000000"/>
          <w:sz w:val="21"/>
          <w:szCs w:val="21"/>
        </w:rPr>
        <w:t>，</w:t>
      </w:r>
      <w:r>
        <w:rPr>
          <w:rFonts w:hint="eastAsia" w:ascii="Times New Roman" w:hAnsi="Times New Roman"/>
          <w:color w:val="000000"/>
          <w:sz w:val="21"/>
          <w:szCs w:val="21"/>
        </w:rPr>
        <w:t>应按照</w:t>
      </w:r>
      <w:r>
        <w:rPr>
          <w:rFonts w:ascii="Times New Roman" w:hAnsi="Times New Roman"/>
          <w:color w:val="000000"/>
          <w:sz w:val="21"/>
          <w:szCs w:val="21"/>
        </w:rPr>
        <w:t>GB/T 17980.72</w:t>
      </w:r>
      <w:r>
        <w:rPr>
          <w:rFonts w:hint="eastAsia" w:ascii="Times New Roman" w:hAnsi="Times New Roman"/>
          <w:color w:val="000000"/>
          <w:sz w:val="21"/>
          <w:szCs w:val="21"/>
        </w:rPr>
        <w:t>要求执行</w:t>
      </w:r>
      <w:r>
        <w:rPr>
          <w:rFonts w:ascii="Times New Roman" w:hAnsi="Times New Roman"/>
          <w:color w:val="000000"/>
          <w:sz w:val="21"/>
          <w:szCs w:val="21"/>
        </w:rPr>
        <w:t>。</w:t>
      </w:r>
    </w:p>
    <w:bookmarkEnd w:id="40"/>
    <w:p w14:paraId="5102882D">
      <w:pPr>
        <w:pStyle w:val="27"/>
        <w:spacing w:before="240" w:beforeLines="0" w:after="240" w:afterLines="0" w:line="400" w:lineRule="exact"/>
        <w:ind w:left="425"/>
        <w:rPr>
          <w:rFonts w:ascii="Times New Roman"/>
        </w:rPr>
      </w:pPr>
      <w:bookmarkStart w:id="41" w:name="_Toc240880677"/>
      <w:r>
        <w:rPr>
          <w:rFonts w:hint="eastAsia" w:ascii="Times New Roman"/>
        </w:rPr>
        <w:t>覆膜播种</w:t>
      </w:r>
      <w:bookmarkEnd w:id="41"/>
    </w:p>
    <w:p w14:paraId="348764F4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bookmarkStart w:id="42" w:name="OLE_LINK29"/>
      <w:r>
        <w:rPr>
          <w:rFonts w:hint="eastAsia" w:ascii="Times New Roman" w:hAnsi="Times New Roman"/>
          <w:color w:val="000000"/>
          <w:sz w:val="21"/>
          <w:szCs w:val="21"/>
        </w:rPr>
        <w:t>8</w:t>
      </w:r>
      <w:r>
        <w:rPr>
          <w:rFonts w:ascii="Times New Roman" w:hAnsi="Times New Roman"/>
          <w:color w:val="000000"/>
          <w:sz w:val="21"/>
          <w:szCs w:val="21"/>
        </w:rPr>
        <w:t xml:space="preserve">.1 </w:t>
      </w:r>
      <w:r>
        <w:rPr>
          <w:rFonts w:hint="eastAsia" w:ascii="Times New Roman" w:hAnsi="Times New Roman"/>
          <w:color w:val="000000"/>
          <w:sz w:val="21"/>
          <w:szCs w:val="21"/>
        </w:rPr>
        <w:t>模式选取</w:t>
      </w:r>
    </w:p>
    <w:p w14:paraId="63072A04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集雨覆盖模式按照附录 A 对应降水区间进行选取。</w:t>
      </w:r>
    </w:p>
    <w:p w14:paraId="1925921B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8.</w:t>
      </w:r>
      <w:r>
        <w:rPr>
          <w:rFonts w:ascii="Times New Roman" w:hAnsi="Times New Roman"/>
          <w:color w:val="000000"/>
          <w:sz w:val="21"/>
          <w:szCs w:val="21"/>
        </w:rPr>
        <w:t xml:space="preserve">2 </w:t>
      </w:r>
      <w:bookmarkStart w:id="43" w:name="OLE_LINK11"/>
      <w:r>
        <w:rPr>
          <w:rFonts w:hint="eastAsia" w:ascii="Times New Roman" w:hAnsi="Times New Roman"/>
          <w:color w:val="000000"/>
          <w:sz w:val="21"/>
          <w:szCs w:val="21"/>
        </w:rPr>
        <w:t>施肥</w:t>
      </w:r>
      <w:bookmarkEnd w:id="43"/>
    </w:p>
    <w:p w14:paraId="24F338D0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全部肥料作为基肥，播种作业时一次性施入。肥料施于种子侧方，水平距离种子 8 cm～10 cm，施肥深度 10 cm～15 cm。</w:t>
      </w:r>
    </w:p>
    <w:p w14:paraId="3EC8E725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8</w:t>
      </w:r>
      <w:r>
        <w:rPr>
          <w:rFonts w:ascii="Times New Roman" w:hAnsi="Times New Roman"/>
          <w:color w:val="000000"/>
          <w:sz w:val="21"/>
          <w:szCs w:val="21"/>
        </w:rPr>
        <w:t xml:space="preserve">.3 </w:t>
      </w:r>
      <w:r>
        <w:rPr>
          <w:rFonts w:hint="eastAsia" w:ascii="Times New Roman" w:hAnsi="Times New Roman"/>
          <w:color w:val="000000"/>
          <w:sz w:val="21"/>
          <w:szCs w:val="21"/>
        </w:rPr>
        <w:t>封闭除草</w:t>
      </w:r>
    </w:p>
    <w:p w14:paraId="21D75709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集雨微地形成型之后，对全田地表喷施封闭除草剂，作业执行 GB/T 8321.10 的规定。</w:t>
      </w:r>
    </w:p>
    <w:p w14:paraId="7DE3C809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8</w:t>
      </w:r>
      <w:r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hint="eastAsia" w:ascii="Times New Roman" w:hAnsi="Times New Roman"/>
          <w:color w:val="000000"/>
          <w:sz w:val="21"/>
          <w:szCs w:val="21"/>
        </w:rPr>
        <w:t>4</w:t>
      </w:r>
      <w:r>
        <w:rPr>
          <w:rFonts w:ascii="Times New Roman" w:hAnsi="Times New Roman"/>
          <w:color w:val="000000"/>
          <w:sz w:val="21"/>
          <w:szCs w:val="21"/>
        </w:rPr>
        <w:t xml:space="preserve"> </w:t>
      </w:r>
      <w:bookmarkStart w:id="44" w:name="OLE_LINK8"/>
      <w:r>
        <w:rPr>
          <w:rFonts w:hint="eastAsia" w:ascii="Times New Roman" w:hAnsi="Times New Roman"/>
          <w:color w:val="000000"/>
          <w:sz w:val="21"/>
          <w:szCs w:val="21"/>
        </w:rPr>
        <w:t>品种与播</w:t>
      </w:r>
      <w:bookmarkEnd w:id="44"/>
      <w:r>
        <w:rPr>
          <w:rFonts w:hint="eastAsia" w:ascii="Times New Roman" w:hAnsi="Times New Roman"/>
          <w:color w:val="000000"/>
          <w:sz w:val="21"/>
          <w:szCs w:val="21"/>
        </w:rPr>
        <w:t>深</w:t>
      </w:r>
    </w:p>
    <w:p w14:paraId="7D59C509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选用本地适配、抗旱、紧凑型、抗倒伏、耐密矮秆玉米品种；播种深度控制 3 cm～5 cm。</w:t>
      </w:r>
    </w:p>
    <w:p w14:paraId="021E584A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8</w:t>
      </w:r>
      <w:r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hint="eastAsia" w:ascii="Times New Roman" w:hAnsi="Times New Roman"/>
          <w:color w:val="000000"/>
          <w:sz w:val="21"/>
          <w:szCs w:val="21"/>
        </w:rPr>
        <w:t>5 作业机具</w:t>
      </w:r>
    </w:p>
    <w:p w14:paraId="3CB47E80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结合当地生产条件，宜选用集起垄塑型、施肥、喷药、覆膜、播种为一体的多功能作业机具。</w:t>
      </w:r>
    </w:p>
    <w:bookmarkEnd w:id="42"/>
    <w:p w14:paraId="4DFB6285">
      <w:pPr>
        <w:pStyle w:val="27"/>
        <w:spacing w:before="240" w:beforeLines="0" w:after="240" w:afterLines="0" w:line="400" w:lineRule="exact"/>
        <w:ind w:left="425"/>
        <w:rPr>
          <w:rFonts w:ascii="Times New Roman"/>
        </w:rPr>
      </w:pPr>
      <w:bookmarkStart w:id="45" w:name="_Toc240880678"/>
      <w:r>
        <w:rPr>
          <w:rFonts w:hint="eastAsia" w:ascii="Times New Roman"/>
        </w:rPr>
        <w:t>田间管理</w:t>
      </w:r>
      <w:bookmarkEnd w:id="45"/>
    </w:p>
    <w:p w14:paraId="18DAACB8">
      <w:pPr>
        <w:pStyle w:val="10"/>
        <w:spacing w:line="360" w:lineRule="auto"/>
        <w:ind w:firstLine="570"/>
        <w:rPr>
          <w:rFonts w:hint="eastAsia" w:ascii="Times New Roman" w:hAnsi="Times New Roman"/>
          <w:color w:val="000000"/>
          <w:sz w:val="21"/>
          <w:szCs w:val="21"/>
        </w:rPr>
      </w:pPr>
      <w:bookmarkStart w:id="46" w:name="OLE_LINK9"/>
      <w:r>
        <w:rPr>
          <w:rFonts w:hint="eastAsia" w:ascii="Times New Roman" w:hAnsi="Times New Roman"/>
          <w:color w:val="000000"/>
          <w:sz w:val="21"/>
          <w:szCs w:val="21"/>
        </w:rPr>
        <w:t>9</w:t>
      </w:r>
      <w:r>
        <w:rPr>
          <w:rFonts w:ascii="Times New Roman" w:hAnsi="Times New Roman"/>
          <w:color w:val="000000"/>
          <w:sz w:val="21"/>
          <w:szCs w:val="21"/>
        </w:rPr>
        <w:t xml:space="preserve">.1 </w:t>
      </w:r>
      <w:r>
        <w:rPr>
          <w:rFonts w:hint="eastAsia" w:ascii="Times New Roman" w:hAnsi="Times New Roman"/>
          <w:color w:val="000000"/>
          <w:sz w:val="21"/>
          <w:szCs w:val="21"/>
        </w:rPr>
        <w:t>压膜护膜</w:t>
      </w:r>
    </w:p>
    <w:p w14:paraId="15172797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播种后遇到大风天气地膜被吹起时及时压膜。</w:t>
      </w:r>
    </w:p>
    <w:p w14:paraId="68F2248C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9</w:t>
      </w:r>
      <w:r>
        <w:rPr>
          <w:rFonts w:ascii="Times New Roman" w:hAnsi="Times New Roman"/>
          <w:color w:val="000000"/>
          <w:sz w:val="21"/>
          <w:szCs w:val="21"/>
        </w:rPr>
        <w:t xml:space="preserve">.2 </w:t>
      </w:r>
      <w:r>
        <w:rPr>
          <w:rFonts w:hint="eastAsia" w:ascii="Times New Roman" w:hAnsi="Times New Roman"/>
          <w:color w:val="000000"/>
          <w:sz w:val="21"/>
          <w:szCs w:val="21"/>
        </w:rPr>
        <w:t>放苗补苗</w:t>
      </w:r>
    </w:p>
    <w:p w14:paraId="34567E0F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出苗后如有苗穴错位的及时放苗，出现连续缺苗5</w:t>
      </w:r>
      <w:r>
        <w:rPr>
          <w:rFonts w:hint="eastAsia" w:ascii="Times New Roman" w:hAnsi="Times New Roman"/>
          <w:color w:val="000000"/>
          <w:sz w:val="21"/>
          <w:szCs w:val="21"/>
        </w:rPr>
        <w:t>株~</w:t>
      </w:r>
      <w:r>
        <w:rPr>
          <w:rFonts w:ascii="Times New Roman" w:hAnsi="Times New Roman"/>
          <w:color w:val="000000"/>
          <w:sz w:val="21"/>
          <w:szCs w:val="21"/>
        </w:rPr>
        <w:t>10株的及时补苗。</w:t>
      </w:r>
    </w:p>
    <w:p w14:paraId="209E5DE2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9.3 病虫害防治</w:t>
      </w:r>
    </w:p>
    <w:p w14:paraId="74E333C1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玉米拔节期、抽雄期、灌浆期防治病虫害，</w:t>
      </w:r>
      <w:r>
        <w:rPr>
          <w:rFonts w:ascii="Times New Roman" w:hAnsi="Times New Roman"/>
          <w:color w:val="000000"/>
          <w:sz w:val="21"/>
          <w:szCs w:val="21"/>
        </w:rPr>
        <w:t>病虫害防治按照GB/T 23391 -202</w:t>
      </w:r>
      <w:r>
        <w:rPr>
          <w:rFonts w:hint="eastAsia" w:ascii="Times New Roman" w:hAnsi="Times New Roman"/>
          <w:color w:val="000000"/>
          <w:sz w:val="21"/>
          <w:szCs w:val="21"/>
        </w:rPr>
        <w:t>6规定</w:t>
      </w:r>
      <w:r>
        <w:rPr>
          <w:rFonts w:ascii="Times New Roman" w:hAnsi="Times New Roman"/>
          <w:color w:val="000000"/>
          <w:sz w:val="21"/>
          <w:szCs w:val="21"/>
        </w:rPr>
        <w:t>执行。</w:t>
      </w:r>
    </w:p>
    <w:p w14:paraId="4FFDE124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9.4 叶面追肥</w:t>
      </w:r>
    </w:p>
    <w:p w14:paraId="76031856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玉米拔节期、抽雄期、灌浆期等可根据玉米长势，宜喷施叶面肥。</w:t>
      </w:r>
    </w:p>
    <w:bookmarkEnd w:id="46"/>
    <w:p w14:paraId="62E5217A">
      <w:pPr>
        <w:pStyle w:val="27"/>
        <w:spacing w:before="240" w:beforeLines="0" w:after="240" w:afterLines="0" w:line="400" w:lineRule="exact"/>
        <w:ind w:left="425"/>
        <w:rPr>
          <w:rFonts w:ascii="Times New Roman"/>
        </w:rPr>
      </w:pPr>
      <w:bookmarkStart w:id="47" w:name="_Toc240880679"/>
      <w:r>
        <w:rPr>
          <w:rFonts w:hint="eastAsia" w:ascii="Times New Roman"/>
        </w:rPr>
        <w:t>收获</w:t>
      </w:r>
      <w:bookmarkEnd w:id="47"/>
    </w:p>
    <w:p w14:paraId="657627A8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bookmarkStart w:id="48" w:name="OLE_LINK30"/>
      <w:r>
        <w:rPr>
          <w:rFonts w:ascii="Times New Roman" w:hAnsi="Times New Roman"/>
          <w:color w:val="000000"/>
          <w:sz w:val="21"/>
          <w:szCs w:val="21"/>
        </w:rPr>
        <w:t>收获技术要求按照</w:t>
      </w:r>
      <w:bookmarkStart w:id="49" w:name="OLE_LINK33"/>
      <w:r>
        <w:rPr>
          <w:rFonts w:ascii="Times New Roman" w:hAnsi="Times New Roman"/>
          <w:color w:val="000000"/>
          <w:sz w:val="21"/>
          <w:szCs w:val="21"/>
        </w:rPr>
        <w:t>GB/T 21962</w:t>
      </w:r>
      <w:bookmarkEnd w:id="49"/>
      <w:r>
        <w:rPr>
          <w:rFonts w:ascii="Times New Roman" w:hAnsi="Times New Roman"/>
          <w:color w:val="000000"/>
          <w:sz w:val="21"/>
          <w:szCs w:val="21"/>
        </w:rPr>
        <w:t>玉米机械化收获条件执行。</w:t>
      </w:r>
    </w:p>
    <w:p w14:paraId="33E6B1F2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10</w:t>
      </w:r>
      <w:r>
        <w:rPr>
          <w:rFonts w:ascii="Times New Roman" w:hAnsi="Times New Roman"/>
          <w:color w:val="000000"/>
          <w:sz w:val="21"/>
          <w:szCs w:val="21"/>
        </w:rPr>
        <w:t xml:space="preserve">.1 </w:t>
      </w:r>
      <w:r>
        <w:rPr>
          <w:rFonts w:hint="eastAsia" w:ascii="Times New Roman" w:hAnsi="Times New Roman"/>
          <w:color w:val="000000"/>
          <w:sz w:val="21"/>
          <w:szCs w:val="21"/>
        </w:rPr>
        <w:t>籽粒直收</w:t>
      </w:r>
    </w:p>
    <w:p w14:paraId="00DC5517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宜籽粒直收的区域，在</w:t>
      </w:r>
      <w:r>
        <w:rPr>
          <w:rFonts w:ascii="Times New Roman" w:hAnsi="Times New Roman"/>
          <w:color w:val="000000"/>
          <w:sz w:val="21"/>
          <w:szCs w:val="21"/>
        </w:rPr>
        <w:t>玉米籽粒乳线消失或黑层出现后</w:t>
      </w:r>
      <w:r>
        <w:rPr>
          <w:rFonts w:hint="eastAsia" w:ascii="Times New Roman" w:hAnsi="Times New Roman"/>
          <w:color w:val="000000"/>
          <w:sz w:val="21"/>
          <w:szCs w:val="21"/>
        </w:rPr>
        <w:t>，</w:t>
      </w:r>
      <w:r>
        <w:rPr>
          <w:rFonts w:ascii="Times New Roman" w:hAnsi="Times New Roman"/>
          <w:color w:val="000000"/>
          <w:sz w:val="21"/>
          <w:szCs w:val="21"/>
        </w:rPr>
        <w:t>立杆自然脱水50</w:t>
      </w:r>
      <w:r>
        <w:rPr>
          <w:rFonts w:hint="eastAsia" w:ascii="Times New Roman" w:hAnsi="Times New Roman"/>
          <w:color w:val="000000"/>
          <w:sz w:val="21"/>
          <w:szCs w:val="21"/>
        </w:rPr>
        <w:t xml:space="preserve"> d~</w:t>
      </w:r>
      <w:r>
        <w:rPr>
          <w:rFonts w:ascii="Times New Roman" w:hAnsi="Times New Roman"/>
          <w:color w:val="000000"/>
          <w:sz w:val="21"/>
          <w:szCs w:val="21"/>
        </w:rPr>
        <w:t>60</w:t>
      </w:r>
      <w:r>
        <w:rPr>
          <w:rFonts w:hint="eastAsia" w:ascii="Times New Roman" w:hAnsi="Times New Roman"/>
          <w:color w:val="000000"/>
          <w:sz w:val="21"/>
          <w:szCs w:val="21"/>
        </w:rPr>
        <w:t xml:space="preserve"> d</w:t>
      </w:r>
      <w:r>
        <w:rPr>
          <w:rFonts w:ascii="Times New Roman" w:hAnsi="Times New Roman"/>
          <w:color w:val="000000"/>
          <w:sz w:val="21"/>
          <w:szCs w:val="21"/>
        </w:rPr>
        <w:t>，籽粒含水率</w:t>
      </w:r>
      <w:r>
        <w:rPr>
          <w:rFonts w:hint="eastAsia" w:ascii="Times New Roman" w:hAnsi="Times New Roman"/>
          <w:color w:val="000000"/>
          <w:sz w:val="21"/>
          <w:szCs w:val="21"/>
        </w:rPr>
        <w:t>18%~</w:t>
      </w:r>
      <w:r>
        <w:rPr>
          <w:rFonts w:ascii="Times New Roman" w:hAnsi="Times New Roman"/>
          <w:color w:val="000000"/>
          <w:sz w:val="21"/>
          <w:szCs w:val="21"/>
        </w:rPr>
        <w:t>2</w:t>
      </w:r>
      <w:r>
        <w:rPr>
          <w:rFonts w:hint="eastAsia" w:ascii="Times New Roman" w:hAnsi="Times New Roman"/>
          <w:color w:val="000000"/>
          <w:sz w:val="21"/>
          <w:szCs w:val="21"/>
        </w:rPr>
        <w:t>2</w:t>
      </w:r>
      <w:r>
        <w:rPr>
          <w:rFonts w:ascii="Times New Roman" w:hAnsi="Times New Roman"/>
          <w:color w:val="000000"/>
          <w:sz w:val="21"/>
          <w:szCs w:val="21"/>
        </w:rPr>
        <w:t>%时，机械化籽粒直收，收获后直接烘干或者</w:t>
      </w:r>
      <w:r>
        <w:rPr>
          <w:rFonts w:hint="eastAsia" w:ascii="Times New Roman" w:hAnsi="Times New Roman"/>
          <w:color w:val="000000"/>
          <w:sz w:val="21"/>
          <w:szCs w:val="21"/>
        </w:rPr>
        <w:t>自然</w:t>
      </w:r>
      <w:r>
        <w:rPr>
          <w:rFonts w:ascii="Times New Roman" w:hAnsi="Times New Roman"/>
          <w:color w:val="000000"/>
          <w:sz w:val="21"/>
          <w:szCs w:val="21"/>
        </w:rPr>
        <w:t>晾晒，</w:t>
      </w:r>
      <w:r>
        <w:rPr>
          <w:rFonts w:hint="eastAsia" w:ascii="Times New Roman" w:hAnsi="Times New Roman"/>
          <w:color w:val="000000"/>
          <w:sz w:val="21"/>
          <w:szCs w:val="21"/>
        </w:rPr>
        <w:t>籽粒</w:t>
      </w:r>
      <w:r>
        <w:rPr>
          <w:rFonts w:ascii="Times New Roman" w:hAnsi="Times New Roman"/>
          <w:color w:val="000000"/>
          <w:sz w:val="21"/>
          <w:szCs w:val="21"/>
        </w:rPr>
        <w:t>含水率14%~16%时可进库储藏。</w:t>
      </w:r>
    </w:p>
    <w:p w14:paraId="6DA49598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10</w:t>
      </w:r>
      <w:r>
        <w:rPr>
          <w:rFonts w:ascii="Times New Roman" w:hAnsi="Times New Roman"/>
          <w:color w:val="000000"/>
          <w:sz w:val="21"/>
          <w:szCs w:val="21"/>
        </w:rPr>
        <w:t xml:space="preserve">.2 </w:t>
      </w:r>
      <w:r>
        <w:rPr>
          <w:rFonts w:hint="eastAsia" w:ascii="Times New Roman" w:hAnsi="Times New Roman"/>
          <w:color w:val="000000"/>
          <w:sz w:val="21"/>
          <w:szCs w:val="21"/>
        </w:rPr>
        <w:t>摘穗及茎穗兼收</w:t>
      </w:r>
    </w:p>
    <w:p w14:paraId="7EDAE175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>不宜籽粒收获的区域可选用摘穗收获，种养结合区可选用茎穗兼收机进行收获。</w:t>
      </w:r>
    </w:p>
    <w:bookmarkEnd w:id="48"/>
    <w:p w14:paraId="574C3DDD">
      <w:pPr>
        <w:pStyle w:val="27"/>
        <w:spacing w:before="240" w:beforeLines="0" w:after="240" w:afterLines="0" w:line="400" w:lineRule="exact"/>
        <w:ind w:left="425"/>
        <w:rPr>
          <w:rFonts w:ascii="Times New Roman"/>
        </w:rPr>
      </w:pPr>
      <w:bookmarkStart w:id="50" w:name="_Toc240880680"/>
      <w:bookmarkStart w:id="51" w:name="OLE_LINK18"/>
      <w:r>
        <w:rPr>
          <w:rFonts w:hint="eastAsia" w:ascii="Times New Roman"/>
        </w:rPr>
        <w:t>残膜处置</w:t>
      </w:r>
      <w:bookmarkEnd w:id="50"/>
    </w:p>
    <w:bookmarkEnd w:id="51"/>
    <w:p w14:paraId="4F60DEEB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bookmarkStart w:id="52" w:name="OLE_LINK19"/>
      <w:r>
        <w:rPr>
          <w:rFonts w:hint="eastAsia" w:ascii="Times New Roman" w:hAnsi="Times New Roman"/>
          <w:color w:val="000000"/>
          <w:sz w:val="21"/>
          <w:szCs w:val="21"/>
        </w:rPr>
        <w:t xml:space="preserve">11.1 </w:t>
      </w:r>
      <w:r>
        <w:rPr>
          <w:rFonts w:ascii="Times New Roman" w:hAnsi="Times New Roman"/>
          <w:color w:val="000000"/>
          <w:sz w:val="21"/>
          <w:szCs w:val="21"/>
        </w:rPr>
        <w:t>聚乙烯地膜回收</w:t>
      </w:r>
    </w:p>
    <w:p w14:paraId="4A9368A6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玉米机械粒收后，</w:t>
      </w:r>
      <w:r>
        <w:rPr>
          <w:rFonts w:hint="eastAsia" w:ascii="Times New Roman" w:hAnsi="Times New Roman"/>
          <w:color w:val="000000"/>
          <w:sz w:val="21"/>
          <w:szCs w:val="21"/>
        </w:rPr>
        <w:t>冬春休闲期宜残膜地表覆盖保墒，翌年3月底或4月初宜选用聚乙烯地膜覆盖的区域宜</w:t>
      </w:r>
      <w:r>
        <w:rPr>
          <w:rFonts w:ascii="Times New Roman" w:hAnsi="Times New Roman"/>
          <w:color w:val="000000"/>
          <w:sz w:val="21"/>
          <w:szCs w:val="21"/>
        </w:rPr>
        <w:t>采用耙齿型或者螺旋滚筒式等残膜捡拾机清理残膜</w:t>
      </w:r>
      <w:r>
        <w:rPr>
          <w:rFonts w:hint="eastAsia" w:ascii="Times New Roman" w:hAnsi="Times New Roman"/>
          <w:color w:val="000000"/>
          <w:sz w:val="21"/>
          <w:szCs w:val="21"/>
        </w:rPr>
        <w:t>，残膜收集后转运至政府指定回收点。</w:t>
      </w:r>
    </w:p>
    <w:p w14:paraId="52672888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hint="eastAsia" w:ascii="Times New Roman" w:hAnsi="Times New Roman"/>
          <w:color w:val="000000"/>
          <w:sz w:val="21"/>
          <w:szCs w:val="21"/>
        </w:rPr>
        <w:t xml:space="preserve">11.2 </w:t>
      </w:r>
      <w:r>
        <w:rPr>
          <w:rFonts w:ascii="Times New Roman" w:hAnsi="Times New Roman"/>
          <w:color w:val="000000"/>
          <w:sz w:val="21"/>
          <w:szCs w:val="21"/>
        </w:rPr>
        <w:t>全生物降解地膜处理</w:t>
      </w:r>
    </w:p>
    <w:p w14:paraId="1869AF83">
      <w:pPr>
        <w:pStyle w:val="10"/>
        <w:spacing w:line="360" w:lineRule="auto"/>
        <w:ind w:firstLine="570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采用全生物降解地膜覆盖的区域，籽粒收获后，冬春休闲期</w:t>
      </w:r>
      <w:r>
        <w:rPr>
          <w:rFonts w:hint="eastAsia" w:ascii="Times New Roman" w:hAnsi="Times New Roman"/>
          <w:color w:val="000000"/>
          <w:sz w:val="21"/>
          <w:szCs w:val="21"/>
        </w:rPr>
        <w:t>应</w:t>
      </w:r>
      <w:r>
        <w:rPr>
          <w:rFonts w:ascii="Times New Roman" w:hAnsi="Times New Roman"/>
          <w:color w:val="000000"/>
          <w:sz w:val="21"/>
          <w:szCs w:val="21"/>
        </w:rPr>
        <w:t>秸秆地表覆盖保墒，翌年春季直接翻耕还田。</w:t>
      </w:r>
    </w:p>
    <w:bookmarkEnd w:id="52"/>
    <w:p w14:paraId="50C2EB09">
      <w:pPr>
        <w:adjustRightInd w:val="0"/>
        <w:snapToGrid w:val="0"/>
        <w:spacing w:before="120" w:beforeLines="50" w:after="120" w:afterLines="50" w:line="360" w:lineRule="auto"/>
        <w:ind w:firstLine="420"/>
        <w:rPr>
          <w:szCs w:val="22"/>
        </w:rPr>
      </w:pPr>
    </w:p>
    <w:p w14:paraId="74590134">
      <w:pPr>
        <w:widowControl/>
        <w:jc w:val="left"/>
        <w:rPr>
          <w:szCs w:val="22"/>
        </w:rPr>
      </w:pPr>
      <w:r>
        <w:rPr>
          <w:szCs w:val="22"/>
        </w:rPr>
        <w:br w:type="page"/>
      </w:r>
    </w:p>
    <w:p w14:paraId="4645DEEB">
      <w:pPr>
        <w:pStyle w:val="27"/>
        <w:numPr>
          <w:ilvl w:val="0"/>
          <w:numId w:val="0"/>
        </w:numPr>
        <w:spacing w:before="240" w:after="240"/>
        <w:ind w:left="568"/>
        <w:jc w:val="center"/>
        <w:rPr>
          <w:szCs w:val="22"/>
        </w:rPr>
      </w:pPr>
      <w:bookmarkStart w:id="53" w:name="_Toc240880681"/>
      <w:r>
        <w:rPr>
          <w:rFonts w:hint="eastAsia"/>
          <w:szCs w:val="22"/>
        </w:rPr>
        <w:t>附录A（资料性）</w:t>
      </w:r>
      <w:bookmarkEnd w:id="53"/>
    </w:p>
    <w:p w14:paraId="13829DEB">
      <w:pPr>
        <w:adjustRightInd w:val="0"/>
        <w:snapToGrid w:val="0"/>
        <w:spacing w:before="120" w:beforeLines="50" w:after="120" w:afterLines="50" w:line="360" w:lineRule="auto"/>
        <w:jc w:val="center"/>
        <w:rPr>
          <w:szCs w:val="22"/>
        </w:rPr>
      </w:pPr>
      <w:r>
        <w:rPr>
          <w:rFonts w:hint="eastAsia"/>
          <w:szCs w:val="22"/>
        </w:rPr>
        <w:t>表A 不同降水区化肥用量推荐表</w:t>
      </w:r>
    </w:p>
    <w:tbl>
      <w:tblPr>
        <w:tblStyle w:val="21"/>
        <w:tblW w:w="501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1892"/>
        <w:gridCol w:w="1901"/>
        <w:gridCol w:w="1901"/>
        <w:gridCol w:w="2015"/>
      </w:tblGrid>
      <w:tr w14:paraId="311C9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86" w:type="pct"/>
            <w:vAlign w:val="center"/>
          </w:tcPr>
          <w:p w14:paraId="11518F9B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年降水量</w:t>
            </w:r>
            <w:r>
              <w:rPr>
                <w:rFonts w:hint="eastAsia" w:ascii="Times New Roman"/>
                <w:szCs w:val="22"/>
              </w:rPr>
              <w:t>（</w:t>
            </w:r>
            <w:r>
              <w:rPr>
                <w:rFonts w:ascii="Times New Roman"/>
                <w:szCs w:val="22"/>
              </w:rPr>
              <w:t>mm</w:t>
            </w:r>
            <w:r>
              <w:rPr>
                <w:rFonts w:hint="eastAsia" w:ascii="Times New Roman"/>
                <w:szCs w:val="22"/>
              </w:rPr>
              <w:t>）</w:t>
            </w:r>
          </w:p>
        </w:tc>
        <w:tc>
          <w:tcPr>
            <w:tcW w:w="985" w:type="pct"/>
            <w:vAlign w:val="center"/>
          </w:tcPr>
          <w:p w14:paraId="00FEFA7D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目标产量</w:t>
            </w:r>
            <w:r>
              <w:rPr>
                <w:rFonts w:hint="eastAsia" w:ascii="Times New Roman"/>
                <w:szCs w:val="22"/>
              </w:rPr>
              <w:t>（</w:t>
            </w:r>
            <w:r>
              <w:rPr>
                <w:rFonts w:ascii="Times New Roman"/>
                <w:szCs w:val="22"/>
              </w:rPr>
              <w:t>kg/hm</w:t>
            </w:r>
            <w:r>
              <w:rPr>
                <w:rFonts w:ascii="Times New Roman"/>
                <w:szCs w:val="22"/>
                <w:vertAlign w:val="superscript"/>
              </w:rPr>
              <w:t>2</w:t>
            </w:r>
            <w:r>
              <w:rPr>
                <w:rFonts w:hint="eastAsia" w:ascii="Times New Roman"/>
                <w:szCs w:val="22"/>
              </w:rPr>
              <w:t>）</w:t>
            </w:r>
          </w:p>
        </w:tc>
        <w:tc>
          <w:tcPr>
            <w:tcW w:w="990" w:type="pct"/>
            <w:vAlign w:val="center"/>
          </w:tcPr>
          <w:p w14:paraId="50DC4455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N（kg/hm</w:t>
            </w:r>
            <w:r>
              <w:rPr>
                <w:rFonts w:ascii="Times New Roman"/>
                <w:szCs w:val="22"/>
                <w:vertAlign w:val="superscript"/>
              </w:rPr>
              <w:t>2</w:t>
            </w:r>
            <w:r>
              <w:rPr>
                <w:rFonts w:ascii="Times New Roman"/>
                <w:szCs w:val="22"/>
              </w:rPr>
              <w:t>）</w:t>
            </w:r>
          </w:p>
        </w:tc>
        <w:tc>
          <w:tcPr>
            <w:tcW w:w="990" w:type="pct"/>
            <w:vAlign w:val="center"/>
          </w:tcPr>
          <w:p w14:paraId="2D365031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P</w:t>
            </w:r>
            <w:r>
              <w:rPr>
                <w:rFonts w:ascii="Times New Roman"/>
                <w:szCs w:val="22"/>
                <w:vertAlign w:val="subscript"/>
              </w:rPr>
              <w:t>2</w:t>
            </w:r>
            <w:r>
              <w:rPr>
                <w:rFonts w:ascii="Times New Roman"/>
                <w:szCs w:val="22"/>
              </w:rPr>
              <w:t>O</w:t>
            </w:r>
            <w:r>
              <w:rPr>
                <w:rFonts w:ascii="Times New Roman"/>
                <w:szCs w:val="22"/>
                <w:vertAlign w:val="subscript"/>
              </w:rPr>
              <w:t>5</w:t>
            </w:r>
            <w:r>
              <w:rPr>
                <w:rFonts w:ascii="Times New Roman"/>
                <w:szCs w:val="22"/>
              </w:rPr>
              <w:t>（kg/hm</w:t>
            </w:r>
            <w:r>
              <w:rPr>
                <w:rFonts w:ascii="Times New Roman"/>
                <w:szCs w:val="22"/>
                <w:vertAlign w:val="superscript"/>
              </w:rPr>
              <w:t>2</w:t>
            </w:r>
            <w:r>
              <w:rPr>
                <w:rFonts w:ascii="Times New Roman"/>
                <w:szCs w:val="22"/>
              </w:rPr>
              <w:t>）</w:t>
            </w:r>
          </w:p>
        </w:tc>
        <w:tc>
          <w:tcPr>
            <w:tcW w:w="1049" w:type="pct"/>
            <w:vAlign w:val="center"/>
          </w:tcPr>
          <w:p w14:paraId="17AF288B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K</w:t>
            </w:r>
            <w:r>
              <w:rPr>
                <w:rFonts w:ascii="Times New Roman"/>
                <w:szCs w:val="22"/>
                <w:vertAlign w:val="subscript"/>
              </w:rPr>
              <w:t>2</w:t>
            </w:r>
            <w:r>
              <w:rPr>
                <w:rFonts w:ascii="Times New Roman"/>
                <w:szCs w:val="22"/>
              </w:rPr>
              <w:t>O(（kg/hm</w:t>
            </w:r>
            <w:r>
              <w:rPr>
                <w:rFonts w:ascii="Times New Roman"/>
                <w:szCs w:val="22"/>
                <w:vertAlign w:val="superscript"/>
              </w:rPr>
              <w:t>2</w:t>
            </w:r>
            <w:r>
              <w:rPr>
                <w:rFonts w:ascii="Times New Roman"/>
                <w:szCs w:val="22"/>
              </w:rPr>
              <w:t>）</w:t>
            </w:r>
          </w:p>
        </w:tc>
      </w:tr>
      <w:tr w14:paraId="7588A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86" w:type="pct"/>
            <w:vAlign w:val="center"/>
          </w:tcPr>
          <w:p w14:paraId="3130AFE1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300~450</w:t>
            </w:r>
          </w:p>
        </w:tc>
        <w:tc>
          <w:tcPr>
            <w:tcW w:w="985" w:type="pct"/>
            <w:vAlign w:val="center"/>
          </w:tcPr>
          <w:p w14:paraId="33D80CFA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10500~13500</w:t>
            </w:r>
          </w:p>
        </w:tc>
        <w:tc>
          <w:tcPr>
            <w:tcW w:w="990" w:type="pct"/>
            <w:vAlign w:val="center"/>
          </w:tcPr>
          <w:p w14:paraId="02769C2E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195~255</w:t>
            </w:r>
          </w:p>
        </w:tc>
        <w:tc>
          <w:tcPr>
            <w:tcW w:w="990" w:type="pct"/>
            <w:vAlign w:val="center"/>
          </w:tcPr>
          <w:p w14:paraId="1B523D85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105~135</w:t>
            </w:r>
          </w:p>
        </w:tc>
        <w:tc>
          <w:tcPr>
            <w:tcW w:w="1049" w:type="pct"/>
            <w:vAlign w:val="center"/>
          </w:tcPr>
          <w:p w14:paraId="3D0EE29F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45~60</w:t>
            </w:r>
          </w:p>
        </w:tc>
      </w:tr>
      <w:tr w14:paraId="49B83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86" w:type="pct"/>
            <w:vAlign w:val="center"/>
          </w:tcPr>
          <w:p w14:paraId="167366A2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450~600</w:t>
            </w:r>
          </w:p>
        </w:tc>
        <w:tc>
          <w:tcPr>
            <w:tcW w:w="985" w:type="pct"/>
            <w:vAlign w:val="center"/>
          </w:tcPr>
          <w:p w14:paraId="643500D5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12000~14250</w:t>
            </w:r>
          </w:p>
        </w:tc>
        <w:tc>
          <w:tcPr>
            <w:tcW w:w="990" w:type="pct"/>
            <w:vAlign w:val="center"/>
          </w:tcPr>
          <w:p w14:paraId="606DDD1E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225~300</w:t>
            </w:r>
          </w:p>
        </w:tc>
        <w:tc>
          <w:tcPr>
            <w:tcW w:w="990" w:type="pct"/>
            <w:vAlign w:val="center"/>
          </w:tcPr>
          <w:p w14:paraId="71C8BDC2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120~150</w:t>
            </w:r>
          </w:p>
        </w:tc>
        <w:tc>
          <w:tcPr>
            <w:tcW w:w="1049" w:type="pct"/>
            <w:vAlign w:val="center"/>
          </w:tcPr>
          <w:p w14:paraId="3D24B0F7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60~75</w:t>
            </w:r>
          </w:p>
        </w:tc>
      </w:tr>
    </w:tbl>
    <w:p w14:paraId="67EAA80D">
      <w:pPr>
        <w:adjustRightInd w:val="0"/>
        <w:snapToGrid w:val="0"/>
        <w:spacing w:before="120" w:beforeLines="50" w:after="120" w:afterLines="50" w:line="360" w:lineRule="auto"/>
        <w:ind w:firstLine="420"/>
        <w:rPr>
          <w:szCs w:val="22"/>
        </w:rPr>
      </w:pPr>
    </w:p>
    <w:p w14:paraId="7A77211F">
      <w:pPr>
        <w:widowControl/>
        <w:jc w:val="left"/>
        <w:rPr>
          <w:szCs w:val="22"/>
        </w:rPr>
      </w:pPr>
      <w:r>
        <w:rPr>
          <w:szCs w:val="22"/>
        </w:rPr>
        <w:br w:type="page"/>
      </w:r>
    </w:p>
    <w:p w14:paraId="32B0E04D">
      <w:pPr>
        <w:pStyle w:val="27"/>
        <w:numPr>
          <w:ilvl w:val="0"/>
          <w:numId w:val="0"/>
        </w:numPr>
        <w:spacing w:before="240" w:after="240"/>
        <w:ind w:left="568"/>
        <w:jc w:val="center"/>
        <w:rPr>
          <w:sz w:val="16"/>
          <w:szCs w:val="15"/>
        </w:rPr>
      </w:pPr>
      <w:bookmarkStart w:id="54" w:name="_Toc240880682"/>
      <w:r>
        <w:rPr>
          <w:rFonts w:hint="eastAsia"/>
          <w:szCs w:val="22"/>
        </w:rPr>
        <w:t>附录B</w:t>
      </w:r>
      <w:r>
        <w:rPr>
          <w:rFonts w:hint="eastAsia"/>
        </w:rPr>
        <w:t>（规范性）</w:t>
      </w:r>
      <w:bookmarkEnd w:id="54"/>
    </w:p>
    <w:p w14:paraId="0DA0EB2A">
      <w:pPr>
        <w:adjustRightInd w:val="0"/>
        <w:snapToGrid w:val="0"/>
        <w:spacing w:before="120" w:beforeLines="50" w:after="120" w:afterLines="50" w:line="360" w:lineRule="auto"/>
        <w:jc w:val="center"/>
        <w:rPr>
          <w:szCs w:val="22"/>
        </w:rPr>
      </w:pPr>
      <w:r>
        <w:rPr>
          <w:rFonts w:hint="eastAsia"/>
          <w:szCs w:val="22"/>
        </w:rPr>
        <w:t>表B 不同降水区微地形参数与地膜覆盖材料</w:t>
      </w:r>
    </w:p>
    <w:tbl>
      <w:tblPr>
        <w:tblStyle w:val="21"/>
        <w:tblW w:w="5093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119"/>
        <w:gridCol w:w="2544"/>
        <w:gridCol w:w="2133"/>
        <w:gridCol w:w="1359"/>
        <w:gridCol w:w="1335"/>
      </w:tblGrid>
      <w:tr w14:paraId="4665D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45" w:type="pct"/>
            <w:vAlign w:val="center"/>
          </w:tcPr>
          <w:p w14:paraId="033328F6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年降水量</w:t>
            </w:r>
            <w:r>
              <w:rPr>
                <w:rFonts w:hint="eastAsia" w:ascii="Times New Roman"/>
                <w:szCs w:val="22"/>
              </w:rPr>
              <w:t>（</w:t>
            </w:r>
            <w:r>
              <w:rPr>
                <w:rFonts w:ascii="Times New Roman"/>
                <w:szCs w:val="22"/>
              </w:rPr>
              <w:t>mm</w:t>
            </w:r>
            <w:r>
              <w:rPr>
                <w:rFonts w:hint="eastAsia" w:ascii="Times New Roman"/>
                <w:szCs w:val="22"/>
              </w:rPr>
              <w:t>）</w:t>
            </w:r>
          </w:p>
        </w:tc>
        <w:tc>
          <w:tcPr>
            <w:tcW w:w="574" w:type="pct"/>
            <w:vAlign w:val="center"/>
          </w:tcPr>
          <w:p w14:paraId="297CAC13">
            <w:pPr>
              <w:jc w:val="center"/>
              <w:rPr>
                <w:rFonts w:ascii="宋体"/>
                <w:szCs w:val="22"/>
              </w:rPr>
            </w:pPr>
            <w:r>
              <w:rPr>
                <w:rFonts w:hint="eastAsia" w:ascii="宋体"/>
                <w:szCs w:val="22"/>
              </w:rPr>
              <w:t>微地形名称</w:t>
            </w:r>
          </w:p>
        </w:tc>
        <w:tc>
          <w:tcPr>
            <w:tcW w:w="1305" w:type="pct"/>
            <w:vAlign w:val="center"/>
          </w:tcPr>
          <w:p w14:paraId="5CB71D90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微地形参数</w:t>
            </w:r>
          </w:p>
        </w:tc>
        <w:tc>
          <w:tcPr>
            <w:tcW w:w="1094" w:type="pct"/>
            <w:vAlign w:val="center"/>
          </w:tcPr>
          <w:p w14:paraId="77F5FFFE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集雨面</w:t>
            </w:r>
          </w:p>
        </w:tc>
        <w:tc>
          <w:tcPr>
            <w:tcW w:w="697" w:type="pct"/>
            <w:vAlign w:val="center"/>
          </w:tcPr>
          <w:p w14:paraId="336AAC95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覆盖材料</w:t>
            </w:r>
          </w:p>
        </w:tc>
        <w:tc>
          <w:tcPr>
            <w:tcW w:w="685" w:type="pct"/>
            <w:vAlign w:val="center"/>
          </w:tcPr>
          <w:p w14:paraId="57FE34AA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地膜覆盖度</w:t>
            </w:r>
          </w:p>
        </w:tc>
      </w:tr>
      <w:tr w14:paraId="2ACEC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645" w:type="pct"/>
            <w:vAlign w:val="center"/>
          </w:tcPr>
          <w:p w14:paraId="4BBE80ED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300~450</w:t>
            </w:r>
          </w:p>
        </w:tc>
        <w:tc>
          <w:tcPr>
            <w:tcW w:w="574" w:type="pct"/>
            <w:vAlign w:val="center"/>
          </w:tcPr>
          <w:p w14:paraId="31D5527D">
            <w:pPr>
              <w:jc w:val="center"/>
              <w:rPr>
                <w:rFonts w:ascii="宋体"/>
                <w:szCs w:val="22"/>
              </w:rPr>
            </w:pPr>
            <w:r>
              <w:rPr>
                <w:rFonts w:ascii="Times New Roman"/>
                <w:szCs w:val="22"/>
              </w:rPr>
              <w:t>双垄沟</w:t>
            </w:r>
          </w:p>
        </w:tc>
        <w:tc>
          <w:tcPr>
            <w:tcW w:w="1305" w:type="pct"/>
            <w:vAlign w:val="center"/>
          </w:tcPr>
          <w:p w14:paraId="6664E3DB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大小垄交替构型，其中小垄宽40cm、高15cm，大垄宽70cm、高10cm</w:t>
            </w:r>
          </w:p>
        </w:tc>
        <w:tc>
          <w:tcPr>
            <w:tcW w:w="1094" w:type="pct"/>
            <w:vAlign w:val="center"/>
          </w:tcPr>
          <w:p w14:paraId="478627A4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大小垄全地形覆盖形成集雨面</w:t>
            </w:r>
            <w:r>
              <w:rPr>
                <w:rFonts w:hint="eastAsia" w:ascii="Times New Roman"/>
                <w:szCs w:val="22"/>
              </w:rPr>
              <w:t>，集雨面宽度110cm</w:t>
            </w:r>
          </w:p>
        </w:tc>
        <w:tc>
          <w:tcPr>
            <w:tcW w:w="697" w:type="pct"/>
            <w:vAlign w:val="center"/>
          </w:tcPr>
          <w:p w14:paraId="00ABABAE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聚乙烯地膜</w:t>
            </w:r>
          </w:p>
        </w:tc>
        <w:tc>
          <w:tcPr>
            <w:tcW w:w="685" w:type="pct"/>
            <w:vAlign w:val="center"/>
          </w:tcPr>
          <w:p w14:paraId="38904C6B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100%</w:t>
            </w:r>
          </w:p>
        </w:tc>
      </w:tr>
      <w:tr w14:paraId="0DB8E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45" w:type="pct"/>
            <w:tcBorders>
              <w:bottom w:val="single" w:color="auto" w:sz="4" w:space="0"/>
            </w:tcBorders>
            <w:vAlign w:val="center"/>
          </w:tcPr>
          <w:p w14:paraId="5A9F184A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450~600</w:t>
            </w:r>
          </w:p>
        </w:tc>
        <w:tc>
          <w:tcPr>
            <w:tcW w:w="574" w:type="pct"/>
            <w:vAlign w:val="center"/>
          </w:tcPr>
          <w:p w14:paraId="6DF1F73E">
            <w:pPr>
              <w:jc w:val="center"/>
              <w:rPr>
                <w:rFonts w:ascii="宋体"/>
                <w:szCs w:val="22"/>
              </w:rPr>
            </w:pPr>
            <w:r>
              <w:rPr>
                <w:rFonts w:hint="eastAsia" w:ascii="Times New Roman"/>
                <w:szCs w:val="22"/>
              </w:rPr>
              <w:t>U型</w:t>
            </w:r>
            <w:r>
              <w:rPr>
                <w:rFonts w:ascii="Times New Roman"/>
                <w:szCs w:val="22"/>
              </w:rPr>
              <w:t>沟</w:t>
            </w:r>
          </w:p>
        </w:tc>
        <w:tc>
          <w:tcPr>
            <w:tcW w:w="1305" w:type="pct"/>
            <w:vAlign w:val="center"/>
          </w:tcPr>
          <w:p w14:paraId="2473B16A">
            <w:pPr>
              <w:jc w:val="left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开沟深度10cm、开口宽40cm、底部宽20cm</w:t>
            </w:r>
          </w:p>
        </w:tc>
        <w:tc>
          <w:tcPr>
            <w:tcW w:w="1094" w:type="pct"/>
            <w:vAlign w:val="center"/>
          </w:tcPr>
          <w:p w14:paraId="056A03E2">
            <w:pPr>
              <w:jc w:val="left"/>
              <w:rPr>
                <w:rFonts w:ascii="Times New Roman"/>
                <w:szCs w:val="22"/>
              </w:rPr>
            </w:pPr>
            <w:r>
              <w:rPr>
                <w:rFonts w:hint="eastAsia" w:ascii="Times New Roman"/>
                <w:szCs w:val="22"/>
              </w:rPr>
              <w:t>集雨面宽度70cm，</w:t>
            </w:r>
            <w:r>
              <w:rPr>
                <w:rFonts w:ascii="Times New Roman"/>
                <w:szCs w:val="22"/>
              </w:rPr>
              <w:t>沟内覆盖地膜</w:t>
            </w:r>
            <w:r>
              <w:rPr>
                <w:rFonts w:hint="eastAsia" w:ascii="Times New Roman"/>
                <w:szCs w:val="22"/>
              </w:rPr>
              <w:t>40cm</w:t>
            </w:r>
          </w:p>
        </w:tc>
        <w:tc>
          <w:tcPr>
            <w:tcW w:w="697" w:type="pct"/>
            <w:vAlign w:val="center"/>
          </w:tcPr>
          <w:p w14:paraId="4F239672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宋体"/>
                <w:szCs w:val="22"/>
              </w:rPr>
              <w:fldChar w:fldCharType="begin"/>
            </w:r>
            <w:r>
              <w:rPr>
                <w:rFonts w:ascii="Times New Roman"/>
                <w:szCs w:val="22"/>
              </w:rPr>
              <w:instrText xml:space="preserve"> = 1 \* GB3 </w:instrText>
            </w:r>
            <w:r>
              <w:rPr>
                <w:rFonts w:ascii="宋体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Cs w:val="22"/>
              </w:rPr>
              <w:t>①</w:t>
            </w:r>
            <w:r>
              <w:rPr>
                <w:rFonts w:ascii="宋体"/>
                <w:szCs w:val="22"/>
              </w:rPr>
              <w:fldChar w:fldCharType="end"/>
            </w:r>
            <w:r>
              <w:rPr>
                <w:rFonts w:ascii="Times New Roman"/>
                <w:szCs w:val="22"/>
              </w:rPr>
              <w:t>聚乙烯地膜</w:t>
            </w:r>
            <w:r>
              <w:rPr>
                <w:rFonts w:ascii="宋体"/>
                <w:szCs w:val="22"/>
              </w:rPr>
              <w:fldChar w:fldCharType="begin"/>
            </w:r>
            <w:r>
              <w:rPr>
                <w:rFonts w:ascii="Times New Roman"/>
                <w:szCs w:val="22"/>
              </w:rPr>
              <w:instrText xml:space="preserve"> = 2 \* GB3 </w:instrText>
            </w:r>
            <w:r>
              <w:rPr>
                <w:rFonts w:ascii="宋体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Cs w:val="22"/>
              </w:rPr>
              <w:t>②</w:t>
            </w:r>
            <w:r>
              <w:rPr>
                <w:rFonts w:ascii="宋体"/>
                <w:szCs w:val="22"/>
              </w:rPr>
              <w:fldChar w:fldCharType="end"/>
            </w:r>
            <w:r>
              <w:rPr>
                <w:rFonts w:hint="eastAsia" w:ascii="宋体"/>
                <w:szCs w:val="22"/>
              </w:rPr>
              <w:t>全生物</w:t>
            </w:r>
            <w:r>
              <w:rPr>
                <w:rFonts w:ascii="Times New Roman"/>
                <w:szCs w:val="22"/>
              </w:rPr>
              <w:t>降解膜</w:t>
            </w:r>
          </w:p>
        </w:tc>
        <w:tc>
          <w:tcPr>
            <w:tcW w:w="685" w:type="pct"/>
            <w:vAlign w:val="center"/>
          </w:tcPr>
          <w:p w14:paraId="60B15F48">
            <w:pPr>
              <w:jc w:val="center"/>
              <w:rPr>
                <w:rFonts w:ascii="Times New Roman"/>
                <w:szCs w:val="22"/>
              </w:rPr>
            </w:pPr>
            <w:r>
              <w:rPr>
                <w:rFonts w:ascii="Times New Roman"/>
                <w:szCs w:val="22"/>
              </w:rPr>
              <w:t>50%~80%</w:t>
            </w:r>
          </w:p>
        </w:tc>
      </w:tr>
      <w:tr w14:paraId="24FD3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45" w:type="pct"/>
            <w:tcBorders>
              <w:top w:val="single" w:color="auto" w:sz="4" w:space="0"/>
            </w:tcBorders>
            <w:vAlign w:val="center"/>
          </w:tcPr>
          <w:p w14:paraId="133886DD">
            <w:pPr>
              <w:jc w:val="center"/>
              <w:rPr>
                <w:rFonts w:ascii="宋体"/>
                <w:szCs w:val="22"/>
              </w:rPr>
            </w:pPr>
            <w:r>
              <w:rPr>
                <w:rFonts w:hint="eastAsia" w:ascii="Times New Roman"/>
                <w:szCs w:val="22"/>
              </w:rPr>
              <w:t>450~600</w:t>
            </w:r>
          </w:p>
        </w:tc>
        <w:tc>
          <w:tcPr>
            <w:tcW w:w="574" w:type="pct"/>
            <w:vAlign w:val="center"/>
          </w:tcPr>
          <w:p w14:paraId="006E2414">
            <w:pPr>
              <w:jc w:val="center"/>
              <w:rPr>
                <w:rFonts w:ascii="宋体"/>
                <w:szCs w:val="22"/>
              </w:rPr>
            </w:pPr>
            <w:r>
              <w:rPr>
                <w:rFonts w:hint="eastAsia" w:ascii="宋体"/>
                <w:szCs w:val="22"/>
              </w:rPr>
              <w:t>单垄</w:t>
            </w:r>
          </w:p>
        </w:tc>
        <w:tc>
          <w:tcPr>
            <w:tcW w:w="1305" w:type="pct"/>
            <w:vAlign w:val="center"/>
          </w:tcPr>
          <w:p w14:paraId="7A9A7B1D">
            <w:pPr>
              <w:jc w:val="center"/>
              <w:rPr>
                <w:rFonts w:ascii="宋体"/>
                <w:szCs w:val="22"/>
              </w:rPr>
            </w:pPr>
            <w:r>
              <w:rPr>
                <w:rFonts w:ascii="Times New Roman"/>
                <w:szCs w:val="22"/>
              </w:rPr>
              <w:t>单垄高10cm、宽40cm；</w:t>
            </w:r>
          </w:p>
        </w:tc>
        <w:tc>
          <w:tcPr>
            <w:tcW w:w="1094" w:type="pct"/>
            <w:vAlign w:val="center"/>
          </w:tcPr>
          <w:p w14:paraId="1371F588">
            <w:pPr>
              <w:jc w:val="center"/>
              <w:rPr>
                <w:rFonts w:ascii="宋体"/>
                <w:szCs w:val="22"/>
              </w:rPr>
            </w:pPr>
            <w:r>
              <w:rPr>
                <w:rFonts w:hint="eastAsia" w:ascii="Times New Roman"/>
                <w:szCs w:val="22"/>
              </w:rPr>
              <w:t>集雨面宽度110cm，</w:t>
            </w:r>
            <w:r>
              <w:rPr>
                <w:rFonts w:ascii="Times New Roman"/>
                <w:szCs w:val="22"/>
              </w:rPr>
              <w:t>垄上覆膜</w:t>
            </w:r>
            <w:r>
              <w:rPr>
                <w:rFonts w:hint="eastAsia" w:ascii="Times New Roman"/>
                <w:szCs w:val="22"/>
              </w:rPr>
              <w:t>40cm</w:t>
            </w:r>
          </w:p>
        </w:tc>
        <w:tc>
          <w:tcPr>
            <w:tcW w:w="697" w:type="pct"/>
            <w:vAlign w:val="center"/>
          </w:tcPr>
          <w:p w14:paraId="15E52EC3">
            <w:pPr>
              <w:jc w:val="center"/>
              <w:rPr>
                <w:rFonts w:ascii="宋体"/>
                <w:szCs w:val="22"/>
              </w:rPr>
            </w:pPr>
            <w:r>
              <w:rPr>
                <w:rFonts w:ascii="宋体"/>
                <w:szCs w:val="22"/>
              </w:rPr>
              <w:fldChar w:fldCharType="begin"/>
            </w:r>
            <w:r>
              <w:rPr>
                <w:rFonts w:ascii="Times New Roman"/>
                <w:szCs w:val="22"/>
              </w:rPr>
              <w:instrText xml:space="preserve"> = 1 \* GB3 </w:instrText>
            </w:r>
            <w:r>
              <w:rPr>
                <w:rFonts w:ascii="宋体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Cs w:val="22"/>
              </w:rPr>
              <w:t>①</w:t>
            </w:r>
            <w:r>
              <w:rPr>
                <w:rFonts w:ascii="宋体"/>
                <w:szCs w:val="22"/>
              </w:rPr>
              <w:fldChar w:fldCharType="end"/>
            </w:r>
            <w:r>
              <w:rPr>
                <w:rFonts w:ascii="Times New Roman"/>
                <w:szCs w:val="22"/>
              </w:rPr>
              <w:t>聚乙烯地膜</w:t>
            </w:r>
            <w:r>
              <w:rPr>
                <w:rFonts w:ascii="宋体"/>
                <w:szCs w:val="22"/>
              </w:rPr>
              <w:fldChar w:fldCharType="begin"/>
            </w:r>
            <w:r>
              <w:rPr>
                <w:rFonts w:ascii="Times New Roman"/>
                <w:szCs w:val="22"/>
              </w:rPr>
              <w:instrText xml:space="preserve"> = 2 \* GB3 </w:instrText>
            </w:r>
            <w:r>
              <w:rPr>
                <w:rFonts w:ascii="宋体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Cs w:val="22"/>
              </w:rPr>
              <w:t>②</w:t>
            </w:r>
            <w:r>
              <w:rPr>
                <w:rFonts w:ascii="宋体"/>
                <w:szCs w:val="22"/>
              </w:rPr>
              <w:fldChar w:fldCharType="end"/>
            </w:r>
            <w:r>
              <w:rPr>
                <w:rFonts w:hint="eastAsia" w:ascii="宋体"/>
                <w:szCs w:val="22"/>
              </w:rPr>
              <w:t>全生物</w:t>
            </w:r>
            <w:r>
              <w:rPr>
                <w:rFonts w:ascii="Times New Roman"/>
                <w:szCs w:val="22"/>
              </w:rPr>
              <w:t>降解膜</w:t>
            </w:r>
          </w:p>
        </w:tc>
        <w:tc>
          <w:tcPr>
            <w:tcW w:w="685" w:type="pct"/>
            <w:vAlign w:val="center"/>
          </w:tcPr>
          <w:p w14:paraId="143FA5D7">
            <w:pPr>
              <w:jc w:val="center"/>
              <w:rPr>
                <w:rFonts w:ascii="宋体"/>
                <w:szCs w:val="22"/>
              </w:rPr>
            </w:pPr>
            <w:r>
              <w:rPr>
                <w:rFonts w:ascii="Times New Roman"/>
                <w:szCs w:val="22"/>
              </w:rPr>
              <w:t>50%~80%</w:t>
            </w:r>
          </w:p>
        </w:tc>
      </w:tr>
    </w:tbl>
    <w:p w14:paraId="06A171E9">
      <w:pPr>
        <w:adjustRightInd w:val="0"/>
        <w:snapToGrid w:val="0"/>
        <w:spacing w:before="120" w:beforeLines="50" w:after="120" w:afterLines="50" w:line="360" w:lineRule="auto"/>
        <w:ind w:firstLine="420"/>
        <w:rPr>
          <w:szCs w:val="22"/>
        </w:rPr>
      </w:pPr>
    </w:p>
    <w:p w14:paraId="0B814835">
      <w:pPr>
        <w:adjustRightInd w:val="0"/>
        <w:snapToGrid w:val="0"/>
        <w:spacing w:before="120" w:beforeLines="50" w:after="120" w:afterLines="50" w:line="360" w:lineRule="auto"/>
        <w:ind w:firstLine="420"/>
        <w:rPr>
          <w:szCs w:val="22"/>
        </w:rPr>
      </w:pPr>
    </w:p>
    <w:p w14:paraId="180DED4F">
      <w:pPr>
        <w:widowControl/>
        <w:jc w:val="left"/>
        <w:rPr>
          <w:szCs w:val="22"/>
        </w:rPr>
      </w:pPr>
      <w:r>
        <w:rPr>
          <w:szCs w:val="22"/>
        </w:rPr>
        <w:br w:type="page"/>
      </w:r>
    </w:p>
    <w:p w14:paraId="692ABACA">
      <w:pPr>
        <w:pStyle w:val="27"/>
        <w:numPr>
          <w:ilvl w:val="0"/>
          <w:numId w:val="0"/>
        </w:numPr>
        <w:spacing w:before="240" w:after="240"/>
        <w:ind w:left="568"/>
        <w:jc w:val="center"/>
        <w:rPr>
          <w:szCs w:val="22"/>
        </w:rPr>
      </w:pPr>
      <w:bookmarkStart w:id="55" w:name="_Toc240880683"/>
      <w:r>
        <w:rPr>
          <w:rFonts w:hint="eastAsia"/>
          <w:szCs w:val="22"/>
        </w:rPr>
        <w:t>附录C（资料性）</w:t>
      </w:r>
      <w:bookmarkEnd w:id="55"/>
    </w:p>
    <w:p w14:paraId="268DE7C6">
      <w:pPr>
        <w:adjustRightInd w:val="0"/>
        <w:snapToGrid w:val="0"/>
        <w:spacing w:before="120" w:beforeLines="50" w:after="120" w:afterLines="50" w:line="360" w:lineRule="auto"/>
        <w:ind w:firstLine="420"/>
        <w:rPr>
          <w:szCs w:val="22"/>
        </w:rPr>
      </w:pPr>
      <w:r>
        <w:rPr>
          <w:szCs w:val="22"/>
        </w:rPr>
        <w:drawing>
          <wp:inline distT="0" distB="0" distL="0" distR="0">
            <wp:extent cx="5553710" cy="2214880"/>
            <wp:effectExtent l="0" t="0" r="0" b="0"/>
            <wp:docPr id="5300755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075533" name="图片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8931" cy="2217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A8D9E2">
      <w:pPr>
        <w:adjustRightInd w:val="0"/>
        <w:snapToGrid w:val="0"/>
        <w:spacing w:before="120" w:beforeLines="50" w:after="120" w:afterLines="50" w:line="360" w:lineRule="auto"/>
        <w:ind w:firstLine="420"/>
        <w:jc w:val="center"/>
        <w:rPr>
          <w:b/>
          <w:bCs/>
          <w:szCs w:val="22"/>
        </w:rPr>
      </w:pPr>
      <w:r>
        <w:rPr>
          <w:rFonts w:hint="eastAsia"/>
          <w:b/>
          <w:bCs/>
          <w:szCs w:val="22"/>
        </w:rPr>
        <w:t>图1 全膜双垄沟播种植示意图</w:t>
      </w:r>
    </w:p>
    <w:p w14:paraId="3B0D0D50">
      <w:pPr>
        <w:adjustRightInd w:val="0"/>
        <w:snapToGrid w:val="0"/>
        <w:spacing w:before="120" w:beforeLines="50" w:after="120" w:afterLines="50" w:line="360" w:lineRule="auto"/>
        <w:ind w:firstLine="420"/>
        <w:rPr>
          <w:szCs w:val="22"/>
        </w:rPr>
      </w:pPr>
      <w:r>
        <w:rPr>
          <w:szCs w:val="22"/>
        </w:rPr>
        <w:drawing>
          <wp:inline distT="0" distB="0" distL="0" distR="0">
            <wp:extent cx="5319395" cy="2376805"/>
            <wp:effectExtent l="0" t="0" r="0" b="4445"/>
            <wp:docPr id="20067080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70800" name="图片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54" cy="2383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45CD2">
      <w:pPr>
        <w:adjustRightInd w:val="0"/>
        <w:snapToGrid w:val="0"/>
        <w:spacing w:before="120" w:beforeLines="50" w:after="120" w:afterLines="50" w:line="360" w:lineRule="auto"/>
        <w:ind w:firstLine="420"/>
        <w:jc w:val="center"/>
        <w:rPr>
          <w:b/>
          <w:bCs/>
          <w:szCs w:val="22"/>
        </w:rPr>
      </w:pPr>
      <w:bookmarkStart w:id="56" w:name="OLE_LINK34"/>
      <w:r>
        <w:rPr>
          <w:rFonts w:hint="eastAsia"/>
          <w:b/>
          <w:bCs/>
          <w:szCs w:val="22"/>
        </w:rPr>
        <w:t>图2 单垄覆膜集雨种植示意图</w:t>
      </w:r>
    </w:p>
    <w:bookmarkEnd w:id="56"/>
    <w:p w14:paraId="734FF52B">
      <w:pPr>
        <w:adjustRightInd w:val="0"/>
        <w:snapToGrid w:val="0"/>
        <w:spacing w:before="120" w:beforeLines="50" w:after="120" w:afterLines="50" w:line="360" w:lineRule="auto"/>
        <w:jc w:val="center"/>
        <w:rPr>
          <w:szCs w:val="22"/>
        </w:rPr>
      </w:pPr>
      <w:r>
        <w:rPr>
          <w:szCs w:val="22"/>
        </w:rPr>
        <w:drawing>
          <wp:inline distT="0" distB="0" distL="0" distR="0">
            <wp:extent cx="5137150" cy="2189480"/>
            <wp:effectExtent l="0" t="0" r="6350" b="1270"/>
            <wp:docPr id="18052250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225020" name="图片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0692" cy="2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E2844E">
      <w:pPr>
        <w:adjustRightInd w:val="0"/>
        <w:snapToGrid w:val="0"/>
        <w:spacing w:before="120" w:beforeLines="50" w:after="120" w:afterLines="50" w:line="360" w:lineRule="auto"/>
        <w:ind w:firstLine="420"/>
        <w:jc w:val="center"/>
        <w:rPr>
          <w:szCs w:val="22"/>
        </w:rPr>
      </w:pPr>
      <w:r>
        <w:rPr>
          <w:rFonts w:hint="eastAsia"/>
          <w:b/>
          <w:bCs/>
          <w:szCs w:val="22"/>
        </w:rPr>
        <w:t>图3 U型沟覆膜集雨种植示意图</w:t>
      </w:r>
    </w:p>
    <w:sectPr>
      <w:footerReference r:id="rId7" w:type="default"/>
      <w:footerReference r:id="rId8" w:type="even"/>
      <w:pgSz w:w="11905" w:h="16838"/>
      <w:pgMar w:top="567" w:right="1134" w:bottom="1134" w:left="1418" w:header="1418" w:footer="794" w:gutter="0"/>
      <w:pgNumType w:start="1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大标宋简体">
    <w:altName w:val="宋体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F8864">
    <w:pPr>
      <w:pStyle w:val="44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2366645</wp:posOffset>
              </wp:positionH>
              <wp:positionV relativeFrom="paragraph">
                <wp:posOffset>5080</wp:posOffset>
              </wp:positionV>
              <wp:extent cx="171450" cy="131445"/>
              <wp:effectExtent l="635" t="635" r="0" b="1270"/>
              <wp:wrapNone/>
              <wp:docPr id="119871156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A8A16B">
                          <w:pPr>
                            <w:pStyle w:val="13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186.35pt;margin-top:0.4pt;height:10.35pt;width:13.5pt;mso-position-horizontal-relative:margin;mso-wrap-style:none;z-index:251661312;mso-width-relative:page;mso-height-relative:page;" filled="f" stroked="f" coordsize="21600,21600" o:gfxdata="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oQUBU1AAAAAcBAAAPAAAAAAAAAAEAIAAA&#10;ACIAAABkcnMvZG93bnJldi54bWxQSwECFAAUAAAACACHTuJArKqqGRACAAALBAAADgAAAAAAAAAB&#10;ACAAAAAjAQAAZHJzL2Uyb0RvYy54bWxQSwUGAAAAAAYABgBZAQAAp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A8A16B">
                    <w:pPr>
                      <w:pStyle w:val="13"/>
                    </w:pPr>
                    <w:r>
                      <w:t>I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67540">
    <w:pPr>
      <w:pStyle w:val="13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2662555</wp:posOffset>
              </wp:positionH>
              <wp:positionV relativeFrom="paragraph">
                <wp:posOffset>-8890</wp:posOffset>
              </wp:positionV>
              <wp:extent cx="171450" cy="131445"/>
              <wp:effectExtent l="635" t="635" r="0" b="1270"/>
              <wp:wrapNone/>
              <wp:docPr id="134533660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A4C980">
                          <w:pPr>
                            <w:pStyle w:val="13"/>
                          </w:pPr>
                          <w:r>
                            <w:t>II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09.65pt;margin-top:-0.7pt;height:10.35pt;width:13.5pt;mso-position-horizontal-relative:margin;mso-wrap-style:none;z-index:251663360;mso-width-relative:page;mso-height-relative:page;" filled="f" stroked="f" coordsize="21600,21600" o:gfxdata="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0Kh41AAAAAkBAAAPAAAAAAAAAAEAIAAA&#10;ACIAAABkcnMvZG93bnJldi54bWxQSwECFAAUAAAACACHTuJAQK7xTRACAAALBAAADgAAAAAAAAAB&#10;ACAAAAAjAQAAZHJzL2Uyb0RvYy54bWxQSwUGAAAAAAYABgBZAQAAp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BA4C980">
                    <w:pPr>
                      <w:pStyle w:val="13"/>
                    </w:pPr>
                    <w:r>
                      <w:t>II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9B8F0">
    <w:pPr>
      <w:pStyle w:val="1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2317750</wp:posOffset>
              </wp:positionH>
              <wp:positionV relativeFrom="paragraph">
                <wp:posOffset>-74930</wp:posOffset>
              </wp:positionV>
              <wp:extent cx="391795" cy="148590"/>
              <wp:effectExtent l="0" t="0" r="8255" b="4445"/>
              <wp:wrapNone/>
              <wp:docPr id="468071678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886" cy="14844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442A1">
                          <w:pPr>
                            <w:pStyle w:val="13"/>
                            <w:rPr>
                              <w:rFonts w:hint="eastAsia" w:ascii="宋体" w:hAnsi="宋体" w:cs="宋体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182.5pt;margin-top:-5.9pt;height:11.7pt;width:30.85pt;mso-position-horizontal-relative:margin;z-index:251660288;mso-width-relative:page;mso-height-relative:page;" filled="f" stroked="f" coordsize="21600,21600" o:gfxdata="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ZabcrYAAAACgEAAA8AAAAA&#10;AAAAAQAgAAAAIgAAAGRycy9kb3ducmV2LnhtbFBLAQIUABQAAAAIAIdO4kC8QLGEFAIAAAwEAAAO&#10;AAAAAAAAAAEAIAAAACcBAABkcnMvZTJvRG9jLnhtbFBLBQYAAAAABgAGAFkBAAC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94442A1">
                    <w:pPr>
                      <w:pStyle w:val="13"/>
                      <w:rPr>
                        <w:rFonts w:hint="eastAsia" w:ascii="宋体" w:hAnsi="宋体" w:cs="宋体"/>
                      </w:rPr>
                    </w:pPr>
                    <w:r>
                      <w:rPr>
                        <w:rFonts w:hint="eastAsia" w:ascii="宋体" w:hAnsi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</w:rPr>
                      <w:t>1</w:t>
                    </w:r>
                    <w:r>
                      <w:rPr>
                        <w:rFonts w:hint="eastAsia" w:ascii="宋体" w:hAnsi="宋体" w:cs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C2B40">
    <w:pPr>
      <w:pStyle w:val="13"/>
      <w:tabs>
        <w:tab w:val="center" w:pos="4153"/>
        <w:tab w:val="right" w:pos="8306"/>
      </w:tabs>
      <w:spacing w:before="120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3060700</wp:posOffset>
              </wp:positionH>
              <wp:positionV relativeFrom="paragraph">
                <wp:posOffset>0</wp:posOffset>
              </wp:positionV>
              <wp:extent cx="1828800" cy="1828800"/>
              <wp:effectExtent l="1905" t="0" r="0" b="0"/>
              <wp:wrapNone/>
              <wp:docPr id="1057117479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9CE291">
                          <w:pPr>
                            <w:pStyle w:val="1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241pt;margin-top:0pt;height:144pt;width:144pt;mso-position-horizontal-relative:margin;mso-wrap-style:none;z-index:251662336;mso-width-relative:page;mso-height-relative:page;" filled="f" stroked="f" coordsize="21600,21600" o:gfxdata="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e6X51NUAAAAIAQAADwAAAAAAAAABACAAAAAi&#10;AAAAZHJzL2Rvd25yZXYueG1sUEsBAhQAFAAAAAgAh07iQDZW5h0NAgAADQQAAA4AAAAAAAAAAQAg&#10;AAAAJAEAAGRycy9lMm9Eb2MueG1sUEsFBgAAAAAGAAYAWQEAAK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9CE291">
                    <w:pPr>
                      <w:pStyle w:val="13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7ED85">
    <w:pPr>
      <w:pStyle w:val="14"/>
    </w:pPr>
    <w:r>
      <w:rPr>
        <w:rFonts w:ascii="黑体" w:hAnsi="黑体" w:eastAsia="黑体"/>
        <w:sz w:val="21"/>
        <w:szCs w:val="21"/>
      </w:rPr>
      <w:t>T/</w:t>
    </w:r>
    <w:r>
      <w:rPr>
        <w:rFonts w:hint="eastAsia" w:ascii="黑体" w:hAnsi="黑体" w:eastAsia="黑体"/>
        <w:sz w:val="21"/>
        <w:szCs w:val="21"/>
      </w:rPr>
      <w:t>JSGS</w:t>
    </w:r>
    <w:r>
      <w:rPr>
        <w:rFonts w:ascii="黑体" w:hAnsi="黑体" w:eastAsia="黑体"/>
        <w:sz w:val="21"/>
        <w:szCs w:val="21"/>
      </w:rPr>
      <w:t>-2026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7E665">
    <w:pPr>
      <w:pStyle w:val="14"/>
      <w:jc w:val="right"/>
    </w:pPr>
    <w:r>
      <w:rPr>
        <w:rFonts w:ascii="黑体" w:hAnsi="黑体" w:eastAsia="黑体"/>
        <w:sz w:val="21"/>
        <w:szCs w:val="21"/>
      </w:rPr>
      <w:t>T/GSSF000-2026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8F72A3"/>
    <w:multiLevelType w:val="multilevel"/>
    <w:tmpl w:val="AC8F72A3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4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5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6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053B5E22"/>
    <w:multiLevelType w:val="multilevel"/>
    <w:tmpl w:val="053B5E22"/>
    <w:lvl w:ilvl="0" w:tentative="0">
      <w:start w:val="1"/>
      <w:numFmt w:val="lowerLetter"/>
      <w:pStyle w:val="40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2">
    <w:nsid w:val="1FC91163"/>
    <w:multiLevelType w:val="multilevel"/>
    <w:tmpl w:val="1FC91163"/>
    <w:lvl w:ilvl="0" w:tentative="0">
      <w:start w:val="1"/>
      <w:numFmt w:val="decimal"/>
      <w:pStyle w:val="27"/>
      <w:suff w:val="nothing"/>
      <w:lvlText w:val="%1　"/>
      <w:lvlJc w:val="left"/>
      <w:pPr>
        <w:ind w:left="568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30"/>
      <w:suff w:val="nothing"/>
      <w:lvlText w:val="%1.%2　"/>
      <w:lvlJc w:val="left"/>
      <w:pPr>
        <w:ind w:left="568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31"/>
      <w:suff w:val="nothing"/>
      <w:lvlText w:val="%1.%2.%3　"/>
      <w:lvlJc w:val="left"/>
      <w:pPr>
        <w:ind w:left="284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34"/>
      <w:suff w:val="nothing"/>
      <w:lvlText w:val="%1.%2.%3.%4　"/>
      <w:lvlJc w:val="left"/>
      <w:pPr>
        <w:ind w:left="567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33"/>
      <w:suff w:val="nothing"/>
      <w:lvlText w:val="%1.%2.%3.%4.%5　"/>
      <w:lvlJc w:val="left"/>
      <w:pPr>
        <w:ind w:left="-142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-142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-142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209"/>
        </w:tabs>
        <w:ind w:left="3827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635"/>
        </w:tabs>
        <w:ind w:left="4535" w:hanging="1700"/>
      </w:pPr>
      <w:rPr>
        <w:rFonts w:hint="eastAsia"/>
      </w:rPr>
    </w:lvl>
  </w:abstractNum>
  <w:abstractNum w:abstractNumId="3">
    <w:nsid w:val="646260FA"/>
    <w:multiLevelType w:val="multilevel"/>
    <w:tmpl w:val="646260FA"/>
    <w:lvl w:ilvl="0" w:tentative="0">
      <w:start w:val="1"/>
      <w:numFmt w:val="decimal"/>
      <w:pStyle w:val="45"/>
      <w:suff w:val="nothing"/>
      <w:lvlText w:val="表%1　"/>
      <w:lvlJc w:val="left"/>
      <w:pPr>
        <w:ind w:left="0" w:firstLine="0"/>
      </w:pPr>
      <w:rPr>
        <w:rFonts w:hint="default" w:ascii="黑体" w:hAnsi="Times New Roman" w:eastAsia="黑体"/>
        <w:b w:val="0"/>
        <w:i w:val="0"/>
        <w:color w:val="auto"/>
        <w:sz w:val="21"/>
      </w:rPr>
    </w:lvl>
    <w:lvl w:ilvl="1" w:tentative="0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6CEA2025"/>
    <w:multiLevelType w:val="multilevel"/>
    <w:tmpl w:val="6CEA2025"/>
    <w:lvl w:ilvl="0" w:tentative="0">
      <w:start w:val="1"/>
      <w:numFmt w:val="none"/>
      <w:pStyle w:val="78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76"/>
      <w:suff w:val="nothing"/>
      <w:lvlText w:val="%1%2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pStyle w:val="77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 w:tentative="0">
      <w:start w:val="1"/>
      <w:numFmt w:val="decimal"/>
      <w:pStyle w:val="72"/>
      <w:suff w:val="nothing"/>
      <w:lvlText w:val="%1%2.%3.%4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pStyle w:val="73"/>
      <w:suff w:val="nothing"/>
      <w:lvlText w:val="%1%2.%3.%4.%5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pStyle w:val="74"/>
      <w:suff w:val="nothing"/>
      <w:lvlText w:val="%1%2.%3.%4.%5.%6　"/>
      <w:lvlJc w:val="left"/>
      <w:pPr>
        <w:ind w:left="992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pStyle w:val="75"/>
      <w:suff w:val="nothing"/>
      <w:lvlText w:val="%1%2.%3.%4.%5.%6.%7　"/>
      <w:lvlJc w:val="left"/>
      <w:pPr>
        <w:ind w:left="0" w:firstLine="0"/>
      </w:pPr>
      <w:rPr>
        <w:rFonts w:hint="eastAsia" w:ascii="黑体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210"/>
  <w:drawingGridVerticalSpacing w:val="-794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3NTc5YTkzYTY2ODdmZGM3YjA3NDljNWQxMGI2MTMifQ=="/>
  </w:docVars>
  <w:rsids>
    <w:rsidRoot w:val="386C1756"/>
    <w:rsid w:val="00000999"/>
    <w:rsid w:val="000036C7"/>
    <w:rsid w:val="00003F8F"/>
    <w:rsid w:val="00005052"/>
    <w:rsid w:val="00012603"/>
    <w:rsid w:val="00016220"/>
    <w:rsid w:val="00016DD8"/>
    <w:rsid w:val="000204B8"/>
    <w:rsid w:val="000206B8"/>
    <w:rsid w:val="000210E7"/>
    <w:rsid w:val="000226CE"/>
    <w:rsid w:val="0002341A"/>
    <w:rsid w:val="00023CF0"/>
    <w:rsid w:val="000245AD"/>
    <w:rsid w:val="000247A9"/>
    <w:rsid w:val="00027A95"/>
    <w:rsid w:val="00030442"/>
    <w:rsid w:val="000316AB"/>
    <w:rsid w:val="00032FD9"/>
    <w:rsid w:val="00034B1E"/>
    <w:rsid w:val="00035BF6"/>
    <w:rsid w:val="0003603C"/>
    <w:rsid w:val="00036592"/>
    <w:rsid w:val="00036D09"/>
    <w:rsid w:val="00041939"/>
    <w:rsid w:val="00042D41"/>
    <w:rsid w:val="0004317F"/>
    <w:rsid w:val="00044106"/>
    <w:rsid w:val="000459BB"/>
    <w:rsid w:val="00046CFC"/>
    <w:rsid w:val="00047A98"/>
    <w:rsid w:val="00051658"/>
    <w:rsid w:val="00053550"/>
    <w:rsid w:val="000643E4"/>
    <w:rsid w:val="00065B3F"/>
    <w:rsid w:val="000718FD"/>
    <w:rsid w:val="000730FA"/>
    <w:rsid w:val="000778EC"/>
    <w:rsid w:val="0008144F"/>
    <w:rsid w:val="000827BC"/>
    <w:rsid w:val="00083394"/>
    <w:rsid w:val="000841DD"/>
    <w:rsid w:val="000848D7"/>
    <w:rsid w:val="00084D69"/>
    <w:rsid w:val="0009163B"/>
    <w:rsid w:val="000918F8"/>
    <w:rsid w:val="00092AAC"/>
    <w:rsid w:val="00093ED7"/>
    <w:rsid w:val="000946A0"/>
    <w:rsid w:val="00097163"/>
    <w:rsid w:val="000A23D9"/>
    <w:rsid w:val="000A288E"/>
    <w:rsid w:val="000A2BEA"/>
    <w:rsid w:val="000A58C2"/>
    <w:rsid w:val="000A5BAB"/>
    <w:rsid w:val="000A64A4"/>
    <w:rsid w:val="000A6D11"/>
    <w:rsid w:val="000A71AA"/>
    <w:rsid w:val="000B0D10"/>
    <w:rsid w:val="000B2447"/>
    <w:rsid w:val="000B271E"/>
    <w:rsid w:val="000C168E"/>
    <w:rsid w:val="000C45D7"/>
    <w:rsid w:val="000D38C7"/>
    <w:rsid w:val="000E0200"/>
    <w:rsid w:val="000E2B81"/>
    <w:rsid w:val="000E3359"/>
    <w:rsid w:val="000E4DA6"/>
    <w:rsid w:val="000E59D0"/>
    <w:rsid w:val="000E5AA4"/>
    <w:rsid w:val="000E65F3"/>
    <w:rsid w:val="000F4463"/>
    <w:rsid w:val="000F5AC8"/>
    <w:rsid w:val="00106711"/>
    <w:rsid w:val="001107D0"/>
    <w:rsid w:val="0011124D"/>
    <w:rsid w:val="00111548"/>
    <w:rsid w:val="00111D81"/>
    <w:rsid w:val="00112421"/>
    <w:rsid w:val="001124EA"/>
    <w:rsid w:val="00115345"/>
    <w:rsid w:val="00123192"/>
    <w:rsid w:val="00124327"/>
    <w:rsid w:val="00125D37"/>
    <w:rsid w:val="001300CE"/>
    <w:rsid w:val="00131859"/>
    <w:rsid w:val="00135621"/>
    <w:rsid w:val="00136379"/>
    <w:rsid w:val="00140043"/>
    <w:rsid w:val="00142CC4"/>
    <w:rsid w:val="00144F61"/>
    <w:rsid w:val="001515C7"/>
    <w:rsid w:val="00151896"/>
    <w:rsid w:val="001518E0"/>
    <w:rsid w:val="00155843"/>
    <w:rsid w:val="00160ED7"/>
    <w:rsid w:val="00162BA7"/>
    <w:rsid w:val="00165049"/>
    <w:rsid w:val="00166176"/>
    <w:rsid w:val="0017369A"/>
    <w:rsid w:val="00173AC7"/>
    <w:rsid w:val="00175F07"/>
    <w:rsid w:val="00181604"/>
    <w:rsid w:val="00181857"/>
    <w:rsid w:val="00183B4E"/>
    <w:rsid w:val="001846AC"/>
    <w:rsid w:val="00184A92"/>
    <w:rsid w:val="00186594"/>
    <w:rsid w:val="00187012"/>
    <w:rsid w:val="0018771A"/>
    <w:rsid w:val="00191EC3"/>
    <w:rsid w:val="00193328"/>
    <w:rsid w:val="00194910"/>
    <w:rsid w:val="001954FB"/>
    <w:rsid w:val="001974A6"/>
    <w:rsid w:val="001B02B0"/>
    <w:rsid w:val="001B13B9"/>
    <w:rsid w:val="001B61A8"/>
    <w:rsid w:val="001B62DA"/>
    <w:rsid w:val="001B7B7A"/>
    <w:rsid w:val="001C3E9A"/>
    <w:rsid w:val="001C4659"/>
    <w:rsid w:val="001C5ADC"/>
    <w:rsid w:val="001D0030"/>
    <w:rsid w:val="001D33D9"/>
    <w:rsid w:val="001D6715"/>
    <w:rsid w:val="001D6FBA"/>
    <w:rsid w:val="001D781E"/>
    <w:rsid w:val="001E13EE"/>
    <w:rsid w:val="001E2828"/>
    <w:rsid w:val="001E4FFE"/>
    <w:rsid w:val="001E61D8"/>
    <w:rsid w:val="001F0842"/>
    <w:rsid w:val="001F11CA"/>
    <w:rsid w:val="001F36F5"/>
    <w:rsid w:val="001F40BF"/>
    <w:rsid w:val="001F4567"/>
    <w:rsid w:val="00200006"/>
    <w:rsid w:val="00202024"/>
    <w:rsid w:val="0021152B"/>
    <w:rsid w:val="00214B85"/>
    <w:rsid w:val="002179FB"/>
    <w:rsid w:val="0022078B"/>
    <w:rsid w:val="00222AC6"/>
    <w:rsid w:val="00222FD4"/>
    <w:rsid w:val="002235AC"/>
    <w:rsid w:val="0022360D"/>
    <w:rsid w:val="00224F79"/>
    <w:rsid w:val="00226D59"/>
    <w:rsid w:val="00234CB1"/>
    <w:rsid w:val="00235E3C"/>
    <w:rsid w:val="00247F95"/>
    <w:rsid w:val="0025058D"/>
    <w:rsid w:val="00250A7C"/>
    <w:rsid w:val="002523E4"/>
    <w:rsid w:val="00254C56"/>
    <w:rsid w:val="002554F4"/>
    <w:rsid w:val="0025606E"/>
    <w:rsid w:val="00256D8C"/>
    <w:rsid w:val="00257585"/>
    <w:rsid w:val="00257DE0"/>
    <w:rsid w:val="002604B6"/>
    <w:rsid w:val="002618AA"/>
    <w:rsid w:val="00263273"/>
    <w:rsid w:val="0026333B"/>
    <w:rsid w:val="00263431"/>
    <w:rsid w:val="00264D23"/>
    <w:rsid w:val="00265512"/>
    <w:rsid w:val="002667F4"/>
    <w:rsid w:val="002673ED"/>
    <w:rsid w:val="002708F0"/>
    <w:rsid w:val="00271B19"/>
    <w:rsid w:val="00274EFA"/>
    <w:rsid w:val="0027539E"/>
    <w:rsid w:val="00275FD0"/>
    <w:rsid w:val="0027620F"/>
    <w:rsid w:val="00276BBC"/>
    <w:rsid w:val="0028075E"/>
    <w:rsid w:val="00282730"/>
    <w:rsid w:val="002868D6"/>
    <w:rsid w:val="00287583"/>
    <w:rsid w:val="0028780D"/>
    <w:rsid w:val="002908BA"/>
    <w:rsid w:val="00290994"/>
    <w:rsid w:val="00290A4C"/>
    <w:rsid w:val="002910AA"/>
    <w:rsid w:val="00291D96"/>
    <w:rsid w:val="00291DE2"/>
    <w:rsid w:val="00293E3B"/>
    <w:rsid w:val="002949FD"/>
    <w:rsid w:val="002978AA"/>
    <w:rsid w:val="00297EAD"/>
    <w:rsid w:val="002A00A7"/>
    <w:rsid w:val="002A01D6"/>
    <w:rsid w:val="002A073F"/>
    <w:rsid w:val="002A16F1"/>
    <w:rsid w:val="002A2780"/>
    <w:rsid w:val="002A3F0C"/>
    <w:rsid w:val="002A4A1A"/>
    <w:rsid w:val="002A4F45"/>
    <w:rsid w:val="002B6391"/>
    <w:rsid w:val="002B7A1B"/>
    <w:rsid w:val="002B7A7F"/>
    <w:rsid w:val="002C1BD3"/>
    <w:rsid w:val="002C1CC4"/>
    <w:rsid w:val="002C1F84"/>
    <w:rsid w:val="002C3A7D"/>
    <w:rsid w:val="002C4605"/>
    <w:rsid w:val="002C5FF0"/>
    <w:rsid w:val="002C6B74"/>
    <w:rsid w:val="002D1DB5"/>
    <w:rsid w:val="002D228B"/>
    <w:rsid w:val="002D2C3D"/>
    <w:rsid w:val="002D7C33"/>
    <w:rsid w:val="002E2CF6"/>
    <w:rsid w:val="002E35DE"/>
    <w:rsid w:val="002E4D39"/>
    <w:rsid w:val="002E5A03"/>
    <w:rsid w:val="002E5B60"/>
    <w:rsid w:val="002E69AE"/>
    <w:rsid w:val="002F3FC9"/>
    <w:rsid w:val="00301715"/>
    <w:rsid w:val="00302A68"/>
    <w:rsid w:val="003064F9"/>
    <w:rsid w:val="00307017"/>
    <w:rsid w:val="00312DDB"/>
    <w:rsid w:val="00315495"/>
    <w:rsid w:val="00323A9A"/>
    <w:rsid w:val="00326264"/>
    <w:rsid w:val="00330BA9"/>
    <w:rsid w:val="0033101D"/>
    <w:rsid w:val="003322EF"/>
    <w:rsid w:val="00333F59"/>
    <w:rsid w:val="0034016A"/>
    <w:rsid w:val="0034024B"/>
    <w:rsid w:val="00342B27"/>
    <w:rsid w:val="00343560"/>
    <w:rsid w:val="003449F1"/>
    <w:rsid w:val="00346132"/>
    <w:rsid w:val="003474A2"/>
    <w:rsid w:val="00350B3F"/>
    <w:rsid w:val="00351C43"/>
    <w:rsid w:val="00354CFE"/>
    <w:rsid w:val="00361AF3"/>
    <w:rsid w:val="0036207A"/>
    <w:rsid w:val="003660D0"/>
    <w:rsid w:val="0036674D"/>
    <w:rsid w:val="00367B09"/>
    <w:rsid w:val="00375227"/>
    <w:rsid w:val="00375927"/>
    <w:rsid w:val="00377AC3"/>
    <w:rsid w:val="003806D8"/>
    <w:rsid w:val="00380BC8"/>
    <w:rsid w:val="00381721"/>
    <w:rsid w:val="00382528"/>
    <w:rsid w:val="003860BC"/>
    <w:rsid w:val="003860C3"/>
    <w:rsid w:val="00386260"/>
    <w:rsid w:val="003902C3"/>
    <w:rsid w:val="003907A1"/>
    <w:rsid w:val="0039168F"/>
    <w:rsid w:val="003939CD"/>
    <w:rsid w:val="0039556A"/>
    <w:rsid w:val="003A67B9"/>
    <w:rsid w:val="003A741B"/>
    <w:rsid w:val="003B0BA1"/>
    <w:rsid w:val="003B41B8"/>
    <w:rsid w:val="003C0F70"/>
    <w:rsid w:val="003C1A52"/>
    <w:rsid w:val="003C1B31"/>
    <w:rsid w:val="003C1D88"/>
    <w:rsid w:val="003C3C45"/>
    <w:rsid w:val="003C3CC4"/>
    <w:rsid w:val="003C4270"/>
    <w:rsid w:val="003C5D3B"/>
    <w:rsid w:val="003C7131"/>
    <w:rsid w:val="003D144F"/>
    <w:rsid w:val="003D1E03"/>
    <w:rsid w:val="003D40E5"/>
    <w:rsid w:val="003D4154"/>
    <w:rsid w:val="003D462B"/>
    <w:rsid w:val="003D57A2"/>
    <w:rsid w:val="003D77AC"/>
    <w:rsid w:val="003E0114"/>
    <w:rsid w:val="003E089E"/>
    <w:rsid w:val="003E12AF"/>
    <w:rsid w:val="003E1C63"/>
    <w:rsid w:val="003E21C3"/>
    <w:rsid w:val="003F12A6"/>
    <w:rsid w:val="004012A1"/>
    <w:rsid w:val="00401F83"/>
    <w:rsid w:val="00403931"/>
    <w:rsid w:val="00403B21"/>
    <w:rsid w:val="00403DFE"/>
    <w:rsid w:val="00405254"/>
    <w:rsid w:val="00406293"/>
    <w:rsid w:val="004069F5"/>
    <w:rsid w:val="00406A35"/>
    <w:rsid w:val="00407255"/>
    <w:rsid w:val="0041333F"/>
    <w:rsid w:val="0041399C"/>
    <w:rsid w:val="0041523A"/>
    <w:rsid w:val="00417733"/>
    <w:rsid w:val="00420945"/>
    <w:rsid w:val="00420F3D"/>
    <w:rsid w:val="004214B2"/>
    <w:rsid w:val="00422023"/>
    <w:rsid w:val="0042395E"/>
    <w:rsid w:val="004239D1"/>
    <w:rsid w:val="00423E6D"/>
    <w:rsid w:val="004241A0"/>
    <w:rsid w:val="00426D85"/>
    <w:rsid w:val="00427C28"/>
    <w:rsid w:val="00430EF6"/>
    <w:rsid w:val="00431B3F"/>
    <w:rsid w:val="004419A9"/>
    <w:rsid w:val="00443169"/>
    <w:rsid w:val="00444D58"/>
    <w:rsid w:val="00447A34"/>
    <w:rsid w:val="00451345"/>
    <w:rsid w:val="00451A7A"/>
    <w:rsid w:val="00452942"/>
    <w:rsid w:val="00452C7C"/>
    <w:rsid w:val="0045456C"/>
    <w:rsid w:val="00454AD5"/>
    <w:rsid w:val="00456FCA"/>
    <w:rsid w:val="0046064C"/>
    <w:rsid w:val="00461E74"/>
    <w:rsid w:val="00463085"/>
    <w:rsid w:val="00464BC6"/>
    <w:rsid w:val="00464BDA"/>
    <w:rsid w:val="004654D1"/>
    <w:rsid w:val="00465EEC"/>
    <w:rsid w:val="004665A0"/>
    <w:rsid w:val="00471D81"/>
    <w:rsid w:val="00473171"/>
    <w:rsid w:val="004739E4"/>
    <w:rsid w:val="00473B00"/>
    <w:rsid w:val="004753A6"/>
    <w:rsid w:val="0047541D"/>
    <w:rsid w:val="00481949"/>
    <w:rsid w:val="00481CF7"/>
    <w:rsid w:val="004847B3"/>
    <w:rsid w:val="00487C8F"/>
    <w:rsid w:val="0049202E"/>
    <w:rsid w:val="004932BC"/>
    <w:rsid w:val="00495A19"/>
    <w:rsid w:val="00496B58"/>
    <w:rsid w:val="004A0EBB"/>
    <w:rsid w:val="004A1378"/>
    <w:rsid w:val="004B03F4"/>
    <w:rsid w:val="004B3810"/>
    <w:rsid w:val="004B679A"/>
    <w:rsid w:val="004B7023"/>
    <w:rsid w:val="004C193C"/>
    <w:rsid w:val="004C2C87"/>
    <w:rsid w:val="004C6355"/>
    <w:rsid w:val="004C6CC0"/>
    <w:rsid w:val="004C7454"/>
    <w:rsid w:val="004D1668"/>
    <w:rsid w:val="004D1726"/>
    <w:rsid w:val="004D1A48"/>
    <w:rsid w:val="004D2D06"/>
    <w:rsid w:val="004D2ED2"/>
    <w:rsid w:val="004D5C3F"/>
    <w:rsid w:val="004D5CE8"/>
    <w:rsid w:val="004D6F13"/>
    <w:rsid w:val="004E0FF6"/>
    <w:rsid w:val="004E1642"/>
    <w:rsid w:val="004F0B29"/>
    <w:rsid w:val="004F2958"/>
    <w:rsid w:val="004F3273"/>
    <w:rsid w:val="004F3F89"/>
    <w:rsid w:val="004F4403"/>
    <w:rsid w:val="004F4972"/>
    <w:rsid w:val="004F4D9C"/>
    <w:rsid w:val="004F51BF"/>
    <w:rsid w:val="00503713"/>
    <w:rsid w:val="00503C5B"/>
    <w:rsid w:val="00503CEF"/>
    <w:rsid w:val="00505136"/>
    <w:rsid w:val="00506CD2"/>
    <w:rsid w:val="00510F69"/>
    <w:rsid w:val="005121BC"/>
    <w:rsid w:val="005126D4"/>
    <w:rsid w:val="00515B80"/>
    <w:rsid w:val="00523C8F"/>
    <w:rsid w:val="005248EB"/>
    <w:rsid w:val="005261F3"/>
    <w:rsid w:val="00531298"/>
    <w:rsid w:val="00531E18"/>
    <w:rsid w:val="0053221C"/>
    <w:rsid w:val="005325B4"/>
    <w:rsid w:val="00533440"/>
    <w:rsid w:val="005339F3"/>
    <w:rsid w:val="00534F7C"/>
    <w:rsid w:val="005351FB"/>
    <w:rsid w:val="00535A86"/>
    <w:rsid w:val="005374E4"/>
    <w:rsid w:val="00540059"/>
    <w:rsid w:val="0054195B"/>
    <w:rsid w:val="00543363"/>
    <w:rsid w:val="00546B38"/>
    <w:rsid w:val="00552831"/>
    <w:rsid w:val="005538A9"/>
    <w:rsid w:val="005550CB"/>
    <w:rsid w:val="00555E0E"/>
    <w:rsid w:val="0055668F"/>
    <w:rsid w:val="00557405"/>
    <w:rsid w:val="00560C0D"/>
    <w:rsid w:val="005612B0"/>
    <w:rsid w:val="005622E0"/>
    <w:rsid w:val="00563AF4"/>
    <w:rsid w:val="0056403B"/>
    <w:rsid w:val="005654BC"/>
    <w:rsid w:val="00567E78"/>
    <w:rsid w:val="00570662"/>
    <w:rsid w:val="00570E84"/>
    <w:rsid w:val="0057110B"/>
    <w:rsid w:val="00571165"/>
    <w:rsid w:val="0057177E"/>
    <w:rsid w:val="00572AA0"/>
    <w:rsid w:val="00573C46"/>
    <w:rsid w:val="00574266"/>
    <w:rsid w:val="005745EC"/>
    <w:rsid w:val="00574E9B"/>
    <w:rsid w:val="005751D2"/>
    <w:rsid w:val="00576E62"/>
    <w:rsid w:val="00577654"/>
    <w:rsid w:val="00580913"/>
    <w:rsid w:val="00584C93"/>
    <w:rsid w:val="00585879"/>
    <w:rsid w:val="00586569"/>
    <w:rsid w:val="00590727"/>
    <w:rsid w:val="005908E8"/>
    <w:rsid w:val="00590907"/>
    <w:rsid w:val="00590A12"/>
    <w:rsid w:val="00590BC1"/>
    <w:rsid w:val="00593F11"/>
    <w:rsid w:val="0059400C"/>
    <w:rsid w:val="005946AC"/>
    <w:rsid w:val="00594FB9"/>
    <w:rsid w:val="00597C01"/>
    <w:rsid w:val="005A0433"/>
    <w:rsid w:val="005A23FC"/>
    <w:rsid w:val="005A2D2F"/>
    <w:rsid w:val="005A4F30"/>
    <w:rsid w:val="005B04EC"/>
    <w:rsid w:val="005B2AEC"/>
    <w:rsid w:val="005B4533"/>
    <w:rsid w:val="005B63AE"/>
    <w:rsid w:val="005B6D72"/>
    <w:rsid w:val="005C1738"/>
    <w:rsid w:val="005C329E"/>
    <w:rsid w:val="005C46E4"/>
    <w:rsid w:val="005C6A03"/>
    <w:rsid w:val="005C6C01"/>
    <w:rsid w:val="005C70D6"/>
    <w:rsid w:val="005D4767"/>
    <w:rsid w:val="005D773E"/>
    <w:rsid w:val="005E0904"/>
    <w:rsid w:val="005E3A9A"/>
    <w:rsid w:val="005E3BCC"/>
    <w:rsid w:val="005E5259"/>
    <w:rsid w:val="005E5C05"/>
    <w:rsid w:val="005F1E7C"/>
    <w:rsid w:val="005F483C"/>
    <w:rsid w:val="005F71F6"/>
    <w:rsid w:val="00603DFC"/>
    <w:rsid w:val="00614502"/>
    <w:rsid w:val="00615BA6"/>
    <w:rsid w:val="00623BD6"/>
    <w:rsid w:val="00624A67"/>
    <w:rsid w:val="00627DF1"/>
    <w:rsid w:val="00631641"/>
    <w:rsid w:val="00637931"/>
    <w:rsid w:val="00637E8B"/>
    <w:rsid w:val="006427CC"/>
    <w:rsid w:val="00643BF5"/>
    <w:rsid w:val="00647A40"/>
    <w:rsid w:val="00647B09"/>
    <w:rsid w:val="00651BDF"/>
    <w:rsid w:val="00653B93"/>
    <w:rsid w:val="00653E9A"/>
    <w:rsid w:val="0066056D"/>
    <w:rsid w:val="00662158"/>
    <w:rsid w:val="00662555"/>
    <w:rsid w:val="00662C5C"/>
    <w:rsid w:val="00663561"/>
    <w:rsid w:val="00665ECC"/>
    <w:rsid w:val="00670080"/>
    <w:rsid w:val="0067417E"/>
    <w:rsid w:val="00674584"/>
    <w:rsid w:val="0067597B"/>
    <w:rsid w:val="00683147"/>
    <w:rsid w:val="00686E6C"/>
    <w:rsid w:val="00686EE8"/>
    <w:rsid w:val="00693C51"/>
    <w:rsid w:val="006956E9"/>
    <w:rsid w:val="0069631A"/>
    <w:rsid w:val="00696A71"/>
    <w:rsid w:val="006A0DFC"/>
    <w:rsid w:val="006A39B9"/>
    <w:rsid w:val="006A4285"/>
    <w:rsid w:val="006A7B6A"/>
    <w:rsid w:val="006B5B03"/>
    <w:rsid w:val="006B5BAC"/>
    <w:rsid w:val="006B669D"/>
    <w:rsid w:val="006B6DDE"/>
    <w:rsid w:val="006C51D7"/>
    <w:rsid w:val="006C5B01"/>
    <w:rsid w:val="006C7B6F"/>
    <w:rsid w:val="006D1F6E"/>
    <w:rsid w:val="006D3DA1"/>
    <w:rsid w:val="006D44F8"/>
    <w:rsid w:val="006D57EE"/>
    <w:rsid w:val="006D5B61"/>
    <w:rsid w:val="006E1820"/>
    <w:rsid w:val="006E1C7B"/>
    <w:rsid w:val="006E321E"/>
    <w:rsid w:val="006F0876"/>
    <w:rsid w:val="006F16FB"/>
    <w:rsid w:val="006F7A15"/>
    <w:rsid w:val="006F7CAC"/>
    <w:rsid w:val="0070300F"/>
    <w:rsid w:val="00703415"/>
    <w:rsid w:val="007051F1"/>
    <w:rsid w:val="00705905"/>
    <w:rsid w:val="007073B0"/>
    <w:rsid w:val="00711C41"/>
    <w:rsid w:val="00714FC2"/>
    <w:rsid w:val="00716815"/>
    <w:rsid w:val="00717B27"/>
    <w:rsid w:val="00717BE3"/>
    <w:rsid w:val="00717E0E"/>
    <w:rsid w:val="007211F5"/>
    <w:rsid w:val="00726C6F"/>
    <w:rsid w:val="00732146"/>
    <w:rsid w:val="00736461"/>
    <w:rsid w:val="007374FD"/>
    <w:rsid w:val="00740934"/>
    <w:rsid w:val="00743076"/>
    <w:rsid w:val="00744BD4"/>
    <w:rsid w:val="0075146D"/>
    <w:rsid w:val="007524E6"/>
    <w:rsid w:val="007526FA"/>
    <w:rsid w:val="00753B93"/>
    <w:rsid w:val="00753FA9"/>
    <w:rsid w:val="00754178"/>
    <w:rsid w:val="00754435"/>
    <w:rsid w:val="00754BAB"/>
    <w:rsid w:val="00755750"/>
    <w:rsid w:val="00755AE9"/>
    <w:rsid w:val="007566CE"/>
    <w:rsid w:val="00757452"/>
    <w:rsid w:val="007605FB"/>
    <w:rsid w:val="0076168E"/>
    <w:rsid w:val="0076507A"/>
    <w:rsid w:val="007714B8"/>
    <w:rsid w:val="00772209"/>
    <w:rsid w:val="00772B53"/>
    <w:rsid w:val="0077343C"/>
    <w:rsid w:val="00773EAE"/>
    <w:rsid w:val="00775570"/>
    <w:rsid w:val="00777A5F"/>
    <w:rsid w:val="007807A5"/>
    <w:rsid w:val="0078173B"/>
    <w:rsid w:val="00784F06"/>
    <w:rsid w:val="0078609B"/>
    <w:rsid w:val="007879E1"/>
    <w:rsid w:val="00787D2D"/>
    <w:rsid w:val="0079118E"/>
    <w:rsid w:val="00791F96"/>
    <w:rsid w:val="00792E7E"/>
    <w:rsid w:val="00793746"/>
    <w:rsid w:val="00793CE3"/>
    <w:rsid w:val="00794C87"/>
    <w:rsid w:val="00796A86"/>
    <w:rsid w:val="00797914"/>
    <w:rsid w:val="0079797F"/>
    <w:rsid w:val="007A15D9"/>
    <w:rsid w:val="007A17E9"/>
    <w:rsid w:val="007A2A08"/>
    <w:rsid w:val="007A4D90"/>
    <w:rsid w:val="007A4FB3"/>
    <w:rsid w:val="007A53EC"/>
    <w:rsid w:val="007A65E5"/>
    <w:rsid w:val="007B08DC"/>
    <w:rsid w:val="007B0BD0"/>
    <w:rsid w:val="007B6CCF"/>
    <w:rsid w:val="007C3501"/>
    <w:rsid w:val="007C62A9"/>
    <w:rsid w:val="007D0954"/>
    <w:rsid w:val="007D397D"/>
    <w:rsid w:val="007D3D88"/>
    <w:rsid w:val="007D5108"/>
    <w:rsid w:val="007E0247"/>
    <w:rsid w:val="007E0A97"/>
    <w:rsid w:val="007E0C0F"/>
    <w:rsid w:val="007E2E2C"/>
    <w:rsid w:val="007E323F"/>
    <w:rsid w:val="007E32DC"/>
    <w:rsid w:val="007F13AB"/>
    <w:rsid w:val="007F1ECE"/>
    <w:rsid w:val="007F2352"/>
    <w:rsid w:val="007F289C"/>
    <w:rsid w:val="007F56F5"/>
    <w:rsid w:val="00801881"/>
    <w:rsid w:val="008024B5"/>
    <w:rsid w:val="0080704A"/>
    <w:rsid w:val="008100EC"/>
    <w:rsid w:val="00814017"/>
    <w:rsid w:val="008164F3"/>
    <w:rsid w:val="00820360"/>
    <w:rsid w:val="00824F4B"/>
    <w:rsid w:val="0082655E"/>
    <w:rsid w:val="008319F3"/>
    <w:rsid w:val="00833B5F"/>
    <w:rsid w:val="00834254"/>
    <w:rsid w:val="00840A18"/>
    <w:rsid w:val="0084422F"/>
    <w:rsid w:val="0084473B"/>
    <w:rsid w:val="00846F60"/>
    <w:rsid w:val="00853B2A"/>
    <w:rsid w:val="00855547"/>
    <w:rsid w:val="00857DCC"/>
    <w:rsid w:val="0086043A"/>
    <w:rsid w:val="008607CA"/>
    <w:rsid w:val="00861B74"/>
    <w:rsid w:val="00864501"/>
    <w:rsid w:val="00866B0B"/>
    <w:rsid w:val="00867183"/>
    <w:rsid w:val="008672D7"/>
    <w:rsid w:val="00870BE6"/>
    <w:rsid w:val="00875E2E"/>
    <w:rsid w:val="008764A8"/>
    <w:rsid w:val="00876DFC"/>
    <w:rsid w:val="008805A4"/>
    <w:rsid w:val="00880BA3"/>
    <w:rsid w:val="0088226C"/>
    <w:rsid w:val="00883AF2"/>
    <w:rsid w:val="008939C3"/>
    <w:rsid w:val="00895A80"/>
    <w:rsid w:val="00897AD5"/>
    <w:rsid w:val="008A1285"/>
    <w:rsid w:val="008A1F9E"/>
    <w:rsid w:val="008A78E9"/>
    <w:rsid w:val="008A7EF4"/>
    <w:rsid w:val="008B56D3"/>
    <w:rsid w:val="008B5BEA"/>
    <w:rsid w:val="008C04B4"/>
    <w:rsid w:val="008C22CD"/>
    <w:rsid w:val="008C331E"/>
    <w:rsid w:val="008C4430"/>
    <w:rsid w:val="008C5DD0"/>
    <w:rsid w:val="008C6046"/>
    <w:rsid w:val="008D0340"/>
    <w:rsid w:val="008D21C8"/>
    <w:rsid w:val="008D40C8"/>
    <w:rsid w:val="008D6FAF"/>
    <w:rsid w:val="008D7E49"/>
    <w:rsid w:val="008E0431"/>
    <w:rsid w:val="008E2CC5"/>
    <w:rsid w:val="008E5805"/>
    <w:rsid w:val="008F4A16"/>
    <w:rsid w:val="008F4D3A"/>
    <w:rsid w:val="008F5353"/>
    <w:rsid w:val="0090224F"/>
    <w:rsid w:val="00902394"/>
    <w:rsid w:val="0090310B"/>
    <w:rsid w:val="00907784"/>
    <w:rsid w:val="00913892"/>
    <w:rsid w:val="0091573A"/>
    <w:rsid w:val="00917C03"/>
    <w:rsid w:val="00920990"/>
    <w:rsid w:val="0092101D"/>
    <w:rsid w:val="00922128"/>
    <w:rsid w:val="00922DA3"/>
    <w:rsid w:val="00925294"/>
    <w:rsid w:val="00931AC9"/>
    <w:rsid w:val="0093410D"/>
    <w:rsid w:val="00934815"/>
    <w:rsid w:val="009368FE"/>
    <w:rsid w:val="00940789"/>
    <w:rsid w:val="00940D87"/>
    <w:rsid w:val="009430B5"/>
    <w:rsid w:val="00944268"/>
    <w:rsid w:val="009462F4"/>
    <w:rsid w:val="00946DA6"/>
    <w:rsid w:val="009479D1"/>
    <w:rsid w:val="00950095"/>
    <w:rsid w:val="00950616"/>
    <w:rsid w:val="009507AC"/>
    <w:rsid w:val="0095090E"/>
    <w:rsid w:val="00951AE9"/>
    <w:rsid w:val="00951CE3"/>
    <w:rsid w:val="00953F8C"/>
    <w:rsid w:val="00954FA8"/>
    <w:rsid w:val="009555F5"/>
    <w:rsid w:val="00956B16"/>
    <w:rsid w:val="009572BA"/>
    <w:rsid w:val="00960241"/>
    <w:rsid w:val="00960A36"/>
    <w:rsid w:val="00962139"/>
    <w:rsid w:val="00962144"/>
    <w:rsid w:val="00962546"/>
    <w:rsid w:val="009672DE"/>
    <w:rsid w:val="0097298E"/>
    <w:rsid w:val="00972A3B"/>
    <w:rsid w:val="009761B5"/>
    <w:rsid w:val="0097677F"/>
    <w:rsid w:val="009802DC"/>
    <w:rsid w:val="0098183C"/>
    <w:rsid w:val="00982FE1"/>
    <w:rsid w:val="00984246"/>
    <w:rsid w:val="00985CF0"/>
    <w:rsid w:val="00986E0D"/>
    <w:rsid w:val="009879D8"/>
    <w:rsid w:val="009924A4"/>
    <w:rsid w:val="009950D5"/>
    <w:rsid w:val="009A40BC"/>
    <w:rsid w:val="009A6627"/>
    <w:rsid w:val="009B3DA4"/>
    <w:rsid w:val="009B49D5"/>
    <w:rsid w:val="009B5020"/>
    <w:rsid w:val="009C2EFE"/>
    <w:rsid w:val="009C316B"/>
    <w:rsid w:val="009C4346"/>
    <w:rsid w:val="009C56EC"/>
    <w:rsid w:val="009C6481"/>
    <w:rsid w:val="009C6B5D"/>
    <w:rsid w:val="009D007E"/>
    <w:rsid w:val="009D124B"/>
    <w:rsid w:val="009D1DF7"/>
    <w:rsid w:val="009D2308"/>
    <w:rsid w:val="009D3A4D"/>
    <w:rsid w:val="009D461F"/>
    <w:rsid w:val="009E392F"/>
    <w:rsid w:val="009E55C8"/>
    <w:rsid w:val="009E61AB"/>
    <w:rsid w:val="009F249B"/>
    <w:rsid w:val="009F45EA"/>
    <w:rsid w:val="009F5D49"/>
    <w:rsid w:val="009F6809"/>
    <w:rsid w:val="009F6BCF"/>
    <w:rsid w:val="00A006E3"/>
    <w:rsid w:val="00A040FC"/>
    <w:rsid w:val="00A10DFC"/>
    <w:rsid w:val="00A11D00"/>
    <w:rsid w:val="00A1232A"/>
    <w:rsid w:val="00A14C28"/>
    <w:rsid w:val="00A14C34"/>
    <w:rsid w:val="00A163B8"/>
    <w:rsid w:val="00A168A7"/>
    <w:rsid w:val="00A17995"/>
    <w:rsid w:val="00A208DC"/>
    <w:rsid w:val="00A209DB"/>
    <w:rsid w:val="00A20F08"/>
    <w:rsid w:val="00A22498"/>
    <w:rsid w:val="00A22A54"/>
    <w:rsid w:val="00A22C89"/>
    <w:rsid w:val="00A22CB4"/>
    <w:rsid w:val="00A25623"/>
    <w:rsid w:val="00A256DE"/>
    <w:rsid w:val="00A3342F"/>
    <w:rsid w:val="00A36670"/>
    <w:rsid w:val="00A371B7"/>
    <w:rsid w:val="00A40E87"/>
    <w:rsid w:val="00A42FF7"/>
    <w:rsid w:val="00A43F15"/>
    <w:rsid w:val="00A44229"/>
    <w:rsid w:val="00A4426B"/>
    <w:rsid w:val="00A44312"/>
    <w:rsid w:val="00A5080D"/>
    <w:rsid w:val="00A50C3A"/>
    <w:rsid w:val="00A512ED"/>
    <w:rsid w:val="00A51BED"/>
    <w:rsid w:val="00A5293A"/>
    <w:rsid w:val="00A52CC6"/>
    <w:rsid w:val="00A558BE"/>
    <w:rsid w:val="00A62666"/>
    <w:rsid w:val="00A63BBA"/>
    <w:rsid w:val="00A71883"/>
    <w:rsid w:val="00A71D62"/>
    <w:rsid w:val="00A746F1"/>
    <w:rsid w:val="00A836BD"/>
    <w:rsid w:val="00A85C2A"/>
    <w:rsid w:val="00A900FB"/>
    <w:rsid w:val="00A91071"/>
    <w:rsid w:val="00A92975"/>
    <w:rsid w:val="00A96B6C"/>
    <w:rsid w:val="00AA054E"/>
    <w:rsid w:val="00AA1BE3"/>
    <w:rsid w:val="00AA2A25"/>
    <w:rsid w:val="00AA37C7"/>
    <w:rsid w:val="00AA4C5A"/>
    <w:rsid w:val="00AA674D"/>
    <w:rsid w:val="00AA67DC"/>
    <w:rsid w:val="00AA6E7E"/>
    <w:rsid w:val="00AB413B"/>
    <w:rsid w:val="00AB4743"/>
    <w:rsid w:val="00AB5188"/>
    <w:rsid w:val="00AB5762"/>
    <w:rsid w:val="00AB7E07"/>
    <w:rsid w:val="00AC0B70"/>
    <w:rsid w:val="00AC0EF4"/>
    <w:rsid w:val="00AC3A07"/>
    <w:rsid w:val="00AC6A9B"/>
    <w:rsid w:val="00AD3636"/>
    <w:rsid w:val="00AD4AEF"/>
    <w:rsid w:val="00AD4F26"/>
    <w:rsid w:val="00AF416B"/>
    <w:rsid w:val="00AF5BA0"/>
    <w:rsid w:val="00AF772E"/>
    <w:rsid w:val="00AF7A76"/>
    <w:rsid w:val="00B01838"/>
    <w:rsid w:val="00B029AF"/>
    <w:rsid w:val="00B03DDF"/>
    <w:rsid w:val="00B04DED"/>
    <w:rsid w:val="00B06372"/>
    <w:rsid w:val="00B071DF"/>
    <w:rsid w:val="00B113CA"/>
    <w:rsid w:val="00B11B41"/>
    <w:rsid w:val="00B121F5"/>
    <w:rsid w:val="00B13AC0"/>
    <w:rsid w:val="00B167B7"/>
    <w:rsid w:val="00B173C7"/>
    <w:rsid w:val="00B17553"/>
    <w:rsid w:val="00B17C9E"/>
    <w:rsid w:val="00B17EE5"/>
    <w:rsid w:val="00B205D0"/>
    <w:rsid w:val="00B20DB9"/>
    <w:rsid w:val="00B2567D"/>
    <w:rsid w:val="00B316DC"/>
    <w:rsid w:val="00B3240F"/>
    <w:rsid w:val="00B32EBE"/>
    <w:rsid w:val="00B335C6"/>
    <w:rsid w:val="00B339CB"/>
    <w:rsid w:val="00B364D2"/>
    <w:rsid w:val="00B3734B"/>
    <w:rsid w:val="00B374E2"/>
    <w:rsid w:val="00B402C0"/>
    <w:rsid w:val="00B42AE2"/>
    <w:rsid w:val="00B44F67"/>
    <w:rsid w:val="00B4761E"/>
    <w:rsid w:val="00B477B8"/>
    <w:rsid w:val="00B47980"/>
    <w:rsid w:val="00B47B22"/>
    <w:rsid w:val="00B53B76"/>
    <w:rsid w:val="00B53E54"/>
    <w:rsid w:val="00B548D0"/>
    <w:rsid w:val="00B54D99"/>
    <w:rsid w:val="00B54FF3"/>
    <w:rsid w:val="00B605B8"/>
    <w:rsid w:val="00B61AB6"/>
    <w:rsid w:val="00B6497D"/>
    <w:rsid w:val="00B707F3"/>
    <w:rsid w:val="00B721E4"/>
    <w:rsid w:val="00B72EEB"/>
    <w:rsid w:val="00B73A9F"/>
    <w:rsid w:val="00B767C2"/>
    <w:rsid w:val="00B80E4D"/>
    <w:rsid w:val="00B8195C"/>
    <w:rsid w:val="00B87F7F"/>
    <w:rsid w:val="00B92582"/>
    <w:rsid w:val="00B93CD7"/>
    <w:rsid w:val="00B94E21"/>
    <w:rsid w:val="00B951C9"/>
    <w:rsid w:val="00B95E47"/>
    <w:rsid w:val="00B964F1"/>
    <w:rsid w:val="00B97D91"/>
    <w:rsid w:val="00BA383B"/>
    <w:rsid w:val="00BA4AD7"/>
    <w:rsid w:val="00BA5478"/>
    <w:rsid w:val="00BA57ED"/>
    <w:rsid w:val="00BA5F4C"/>
    <w:rsid w:val="00BA6A37"/>
    <w:rsid w:val="00BB08A8"/>
    <w:rsid w:val="00BB150C"/>
    <w:rsid w:val="00BB3E49"/>
    <w:rsid w:val="00BB4F13"/>
    <w:rsid w:val="00BC110A"/>
    <w:rsid w:val="00BC54C8"/>
    <w:rsid w:val="00BC613F"/>
    <w:rsid w:val="00BC6FEA"/>
    <w:rsid w:val="00BD0820"/>
    <w:rsid w:val="00BD1426"/>
    <w:rsid w:val="00BD17AE"/>
    <w:rsid w:val="00BE40EE"/>
    <w:rsid w:val="00BE550B"/>
    <w:rsid w:val="00BF1CDE"/>
    <w:rsid w:val="00BF2243"/>
    <w:rsid w:val="00BF3515"/>
    <w:rsid w:val="00BF5ABE"/>
    <w:rsid w:val="00C01A50"/>
    <w:rsid w:val="00C0233D"/>
    <w:rsid w:val="00C02D4B"/>
    <w:rsid w:val="00C0606A"/>
    <w:rsid w:val="00C118FC"/>
    <w:rsid w:val="00C130C3"/>
    <w:rsid w:val="00C13459"/>
    <w:rsid w:val="00C13D15"/>
    <w:rsid w:val="00C1437C"/>
    <w:rsid w:val="00C15F59"/>
    <w:rsid w:val="00C2068F"/>
    <w:rsid w:val="00C2668F"/>
    <w:rsid w:val="00C30856"/>
    <w:rsid w:val="00C31153"/>
    <w:rsid w:val="00C32A66"/>
    <w:rsid w:val="00C43541"/>
    <w:rsid w:val="00C44088"/>
    <w:rsid w:val="00C44B4E"/>
    <w:rsid w:val="00C52A53"/>
    <w:rsid w:val="00C52BCA"/>
    <w:rsid w:val="00C54092"/>
    <w:rsid w:val="00C54B47"/>
    <w:rsid w:val="00C56517"/>
    <w:rsid w:val="00C627C9"/>
    <w:rsid w:val="00C6575C"/>
    <w:rsid w:val="00C66BC8"/>
    <w:rsid w:val="00C67043"/>
    <w:rsid w:val="00C70844"/>
    <w:rsid w:val="00C736F1"/>
    <w:rsid w:val="00C73B3A"/>
    <w:rsid w:val="00C744F8"/>
    <w:rsid w:val="00C779FC"/>
    <w:rsid w:val="00C77D2C"/>
    <w:rsid w:val="00C82966"/>
    <w:rsid w:val="00C832E7"/>
    <w:rsid w:val="00C86A0A"/>
    <w:rsid w:val="00C870C0"/>
    <w:rsid w:val="00C879CB"/>
    <w:rsid w:val="00C91234"/>
    <w:rsid w:val="00CA355F"/>
    <w:rsid w:val="00CA3AD7"/>
    <w:rsid w:val="00CA3BC9"/>
    <w:rsid w:val="00CA3F0C"/>
    <w:rsid w:val="00CA560F"/>
    <w:rsid w:val="00CA578C"/>
    <w:rsid w:val="00CA58CD"/>
    <w:rsid w:val="00CA6738"/>
    <w:rsid w:val="00CA78E7"/>
    <w:rsid w:val="00CB14CC"/>
    <w:rsid w:val="00CB3BBF"/>
    <w:rsid w:val="00CB417F"/>
    <w:rsid w:val="00CB79B7"/>
    <w:rsid w:val="00CB7A58"/>
    <w:rsid w:val="00CC2FF8"/>
    <w:rsid w:val="00CD0CE9"/>
    <w:rsid w:val="00CD2803"/>
    <w:rsid w:val="00CD3ECD"/>
    <w:rsid w:val="00CD4958"/>
    <w:rsid w:val="00CD5619"/>
    <w:rsid w:val="00CE2EE3"/>
    <w:rsid w:val="00CF1D8E"/>
    <w:rsid w:val="00CF34EE"/>
    <w:rsid w:val="00CF3C3D"/>
    <w:rsid w:val="00CF56CD"/>
    <w:rsid w:val="00CF6130"/>
    <w:rsid w:val="00D0023C"/>
    <w:rsid w:val="00D01481"/>
    <w:rsid w:val="00D0352B"/>
    <w:rsid w:val="00D04480"/>
    <w:rsid w:val="00D050D7"/>
    <w:rsid w:val="00D10036"/>
    <w:rsid w:val="00D12F3A"/>
    <w:rsid w:val="00D15581"/>
    <w:rsid w:val="00D15920"/>
    <w:rsid w:val="00D15B9A"/>
    <w:rsid w:val="00D16356"/>
    <w:rsid w:val="00D16B5D"/>
    <w:rsid w:val="00D2177F"/>
    <w:rsid w:val="00D21EAE"/>
    <w:rsid w:val="00D23B8F"/>
    <w:rsid w:val="00D2440D"/>
    <w:rsid w:val="00D245F5"/>
    <w:rsid w:val="00D3106C"/>
    <w:rsid w:val="00D342ED"/>
    <w:rsid w:val="00D34DD1"/>
    <w:rsid w:val="00D3506A"/>
    <w:rsid w:val="00D35556"/>
    <w:rsid w:val="00D360F1"/>
    <w:rsid w:val="00D37713"/>
    <w:rsid w:val="00D402C8"/>
    <w:rsid w:val="00D411DA"/>
    <w:rsid w:val="00D412C2"/>
    <w:rsid w:val="00D41A1C"/>
    <w:rsid w:val="00D42D31"/>
    <w:rsid w:val="00D46E38"/>
    <w:rsid w:val="00D47660"/>
    <w:rsid w:val="00D502DD"/>
    <w:rsid w:val="00D52866"/>
    <w:rsid w:val="00D53FE3"/>
    <w:rsid w:val="00D558DD"/>
    <w:rsid w:val="00D56A20"/>
    <w:rsid w:val="00D5749D"/>
    <w:rsid w:val="00D57C13"/>
    <w:rsid w:val="00D57F0B"/>
    <w:rsid w:val="00D663D7"/>
    <w:rsid w:val="00D70F29"/>
    <w:rsid w:val="00D72291"/>
    <w:rsid w:val="00D7242E"/>
    <w:rsid w:val="00D72D6F"/>
    <w:rsid w:val="00D7757B"/>
    <w:rsid w:val="00D800DB"/>
    <w:rsid w:val="00D81599"/>
    <w:rsid w:val="00D84541"/>
    <w:rsid w:val="00D85DCB"/>
    <w:rsid w:val="00D85DD4"/>
    <w:rsid w:val="00D90AE6"/>
    <w:rsid w:val="00D95AC0"/>
    <w:rsid w:val="00D95D2E"/>
    <w:rsid w:val="00DA142A"/>
    <w:rsid w:val="00DA4C8E"/>
    <w:rsid w:val="00DB546B"/>
    <w:rsid w:val="00DB6D4C"/>
    <w:rsid w:val="00DC6005"/>
    <w:rsid w:val="00DD104B"/>
    <w:rsid w:val="00DD27DF"/>
    <w:rsid w:val="00DD432D"/>
    <w:rsid w:val="00DD662A"/>
    <w:rsid w:val="00DD77E8"/>
    <w:rsid w:val="00DE063D"/>
    <w:rsid w:val="00DE1F42"/>
    <w:rsid w:val="00DE39C4"/>
    <w:rsid w:val="00DE3D06"/>
    <w:rsid w:val="00DE4C23"/>
    <w:rsid w:val="00DE61C7"/>
    <w:rsid w:val="00DF22B2"/>
    <w:rsid w:val="00DF473E"/>
    <w:rsid w:val="00DF4CC3"/>
    <w:rsid w:val="00DF515A"/>
    <w:rsid w:val="00DF610D"/>
    <w:rsid w:val="00DF7E87"/>
    <w:rsid w:val="00E048C7"/>
    <w:rsid w:val="00E0717F"/>
    <w:rsid w:val="00E139E4"/>
    <w:rsid w:val="00E14A13"/>
    <w:rsid w:val="00E14C4C"/>
    <w:rsid w:val="00E17063"/>
    <w:rsid w:val="00E17209"/>
    <w:rsid w:val="00E225B6"/>
    <w:rsid w:val="00E22FDC"/>
    <w:rsid w:val="00E24020"/>
    <w:rsid w:val="00E24BC2"/>
    <w:rsid w:val="00E25551"/>
    <w:rsid w:val="00E26829"/>
    <w:rsid w:val="00E27EBF"/>
    <w:rsid w:val="00E30115"/>
    <w:rsid w:val="00E30D92"/>
    <w:rsid w:val="00E31E82"/>
    <w:rsid w:val="00E33049"/>
    <w:rsid w:val="00E35973"/>
    <w:rsid w:val="00E35DC6"/>
    <w:rsid w:val="00E3655E"/>
    <w:rsid w:val="00E36C96"/>
    <w:rsid w:val="00E40790"/>
    <w:rsid w:val="00E416E3"/>
    <w:rsid w:val="00E4173C"/>
    <w:rsid w:val="00E41DF0"/>
    <w:rsid w:val="00E42A02"/>
    <w:rsid w:val="00E42FF8"/>
    <w:rsid w:val="00E44E0E"/>
    <w:rsid w:val="00E50023"/>
    <w:rsid w:val="00E51686"/>
    <w:rsid w:val="00E51EC0"/>
    <w:rsid w:val="00E5451D"/>
    <w:rsid w:val="00E55F49"/>
    <w:rsid w:val="00E60255"/>
    <w:rsid w:val="00E60764"/>
    <w:rsid w:val="00E6170F"/>
    <w:rsid w:val="00E6295A"/>
    <w:rsid w:val="00E64491"/>
    <w:rsid w:val="00E6483F"/>
    <w:rsid w:val="00E65752"/>
    <w:rsid w:val="00E658BE"/>
    <w:rsid w:val="00E66EAC"/>
    <w:rsid w:val="00E70484"/>
    <w:rsid w:val="00E7151C"/>
    <w:rsid w:val="00E72A3C"/>
    <w:rsid w:val="00E72BC4"/>
    <w:rsid w:val="00E7306D"/>
    <w:rsid w:val="00E743E8"/>
    <w:rsid w:val="00E76FB0"/>
    <w:rsid w:val="00E8056E"/>
    <w:rsid w:val="00E91C7E"/>
    <w:rsid w:val="00E94806"/>
    <w:rsid w:val="00E9587B"/>
    <w:rsid w:val="00EA0610"/>
    <w:rsid w:val="00EA0E32"/>
    <w:rsid w:val="00EA2172"/>
    <w:rsid w:val="00EA2D2A"/>
    <w:rsid w:val="00EB471E"/>
    <w:rsid w:val="00EB7654"/>
    <w:rsid w:val="00EC301F"/>
    <w:rsid w:val="00EC4D3A"/>
    <w:rsid w:val="00ED1063"/>
    <w:rsid w:val="00ED3720"/>
    <w:rsid w:val="00ED44BA"/>
    <w:rsid w:val="00ED60C7"/>
    <w:rsid w:val="00EE0268"/>
    <w:rsid w:val="00EE1D5F"/>
    <w:rsid w:val="00EE4125"/>
    <w:rsid w:val="00EE6BF4"/>
    <w:rsid w:val="00EE7340"/>
    <w:rsid w:val="00EF18C0"/>
    <w:rsid w:val="00EF6D12"/>
    <w:rsid w:val="00EF6DF4"/>
    <w:rsid w:val="00F009DE"/>
    <w:rsid w:val="00F027F7"/>
    <w:rsid w:val="00F040F6"/>
    <w:rsid w:val="00F05FBA"/>
    <w:rsid w:val="00F1094A"/>
    <w:rsid w:val="00F1417B"/>
    <w:rsid w:val="00F22862"/>
    <w:rsid w:val="00F235BF"/>
    <w:rsid w:val="00F25DAE"/>
    <w:rsid w:val="00F25E74"/>
    <w:rsid w:val="00F2689E"/>
    <w:rsid w:val="00F271D8"/>
    <w:rsid w:val="00F306C7"/>
    <w:rsid w:val="00F31500"/>
    <w:rsid w:val="00F35475"/>
    <w:rsid w:val="00F37A8A"/>
    <w:rsid w:val="00F4049E"/>
    <w:rsid w:val="00F41A40"/>
    <w:rsid w:val="00F43E87"/>
    <w:rsid w:val="00F50C2B"/>
    <w:rsid w:val="00F52372"/>
    <w:rsid w:val="00F53FB5"/>
    <w:rsid w:val="00F56351"/>
    <w:rsid w:val="00F57537"/>
    <w:rsid w:val="00F60A71"/>
    <w:rsid w:val="00F6109A"/>
    <w:rsid w:val="00F6335D"/>
    <w:rsid w:val="00F6570E"/>
    <w:rsid w:val="00F67EBF"/>
    <w:rsid w:val="00F77687"/>
    <w:rsid w:val="00F80A42"/>
    <w:rsid w:val="00F8170A"/>
    <w:rsid w:val="00F834DD"/>
    <w:rsid w:val="00F8481B"/>
    <w:rsid w:val="00F84CC0"/>
    <w:rsid w:val="00F876DC"/>
    <w:rsid w:val="00F90032"/>
    <w:rsid w:val="00F91E97"/>
    <w:rsid w:val="00F93635"/>
    <w:rsid w:val="00F93ACC"/>
    <w:rsid w:val="00F94B0D"/>
    <w:rsid w:val="00F96A89"/>
    <w:rsid w:val="00FA0BE7"/>
    <w:rsid w:val="00FA7B48"/>
    <w:rsid w:val="00FB0627"/>
    <w:rsid w:val="00FB0B29"/>
    <w:rsid w:val="00FB30D1"/>
    <w:rsid w:val="00FB378E"/>
    <w:rsid w:val="00FB4E5C"/>
    <w:rsid w:val="00FB562F"/>
    <w:rsid w:val="00FB5804"/>
    <w:rsid w:val="00FC611F"/>
    <w:rsid w:val="00FD203C"/>
    <w:rsid w:val="00FD6319"/>
    <w:rsid w:val="00FD730A"/>
    <w:rsid w:val="00FD7651"/>
    <w:rsid w:val="00FE1DCA"/>
    <w:rsid w:val="00FE32F0"/>
    <w:rsid w:val="00FE33C7"/>
    <w:rsid w:val="00FE6DC6"/>
    <w:rsid w:val="00FE6FA8"/>
    <w:rsid w:val="00FF1811"/>
    <w:rsid w:val="00FF3AAA"/>
    <w:rsid w:val="013773C7"/>
    <w:rsid w:val="02A70D83"/>
    <w:rsid w:val="04387AF4"/>
    <w:rsid w:val="048569FB"/>
    <w:rsid w:val="04E62E18"/>
    <w:rsid w:val="056341F0"/>
    <w:rsid w:val="06C947A0"/>
    <w:rsid w:val="073C73BF"/>
    <w:rsid w:val="081B727D"/>
    <w:rsid w:val="0955056D"/>
    <w:rsid w:val="09F26AF9"/>
    <w:rsid w:val="0AF21C56"/>
    <w:rsid w:val="0B725563"/>
    <w:rsid w:val="0C3F7BB0"/>
    <w:rsid w:val="0DD211CB"/>
    <w:rsid w:val="10AB0D39"/>
    <w:rsid w:val="117F6ACF"/>
    <w:rsid w:val="11C20769"/>
    <w:rsid w:val="12AC6D9D"/>
    <w:rsid w:val="141E1CEE"/>
    <w:rsid w:val="144F3772"/>
    <w:rsid w:val="14CC4AAD"/>
    <w:rsid w:val="156644BC"/>
    <w:rsid w:val="176015F8"/>
    <w:rsid w:val="177215B9"/>
    <w:rsid w:val="1A1F0FEA"/>
    <w:rsid w:val="1A8D59E3"/>
    <w:rsid w:val="1B194744"/>
    <w:rsid w:val="1B336C9A"/>
    <w:rsid w:val="1BC65979"/>
    <w:rsid w:val="1BD417C5"/>
    <w:rsid w:val="1D996646"/>
    <w:rsid w:val="1DDC0D9F"/>
    <w:rsid w:val="1ED463B0"/>
    <w:rsid w:val="1F2904D9"/>
    <w:rsid w:val="207F5EEF"/>
    <w:rsid w:val="21F47ED7"/>
    <w:rsid w:val="226E19D0"/>
    <w:rsid w:val="23717BEB"/>
    <w:rsid w:val="26DC6419"/>
    <w:rsid w:val="26DD321D"/>
    <w:rsid w:val="26FA0BA8"/>
    <w:rsid w:val="289507D0"/>
    <w:rsid w:val="28B77FA4"/>
    <w:rsid w:val="28EE3EF0"/>
    <w:rsid w:val="29B515C9"/>
    <w:rsid w:val="2B566008"/>
    <w:rsid w:val="2CCD7A60"/>
    <w:rsid w:val="2E207444"/>
    <w:rsid w:val="2EA243BF"/>
    <w:rsid w:val="33DA0777"/>
    <w:rsid w:val="34B20F03"/>
    <w:rsid w:val="34DD294D"/>
    <w:rsid w:val="351D10C7"/>
    <w:rsid w:val="35AC2859"/>
    <w:rsid w:val="366B0D7D"/>
    <w:rsid w:val="36BE6C7E"/>
    <w:rsid w:val="36D07277"/>
    <w:rsid w:val="36FB1EA4"/>
    <w:rsid w:val="38517824"/>
    <w:rsid w:val="386C1756"/>
    <w:rsid w:val="38C012A3"/>
    <w:rsid w:val="39A6161A"/>
    <w:rsid w:val="39BE4C18"/>
    <w:rsid w:val="39C54E30"/>
    <w:rsid w:val="3A2B7C41"/>
    <w:rsid w:val="3AB74B8E"/>
    <w:rsid w:val="3AB977EA"/>
    <w:rsid w:val="3C2D62F1"/>
    <w:rsid w:val="3C8309AB"/>
    <w:rsid w:val="3D361A43"/>
    <w:rsid w:val="3E094938"/>
    <w:rsid w:val="40865C36"/>
    <w:rsid w:val="41AD0A62"/>
    <w:rsid w:val="41F37447"/>
    <w:rsid w:val="433D3AC8"/>
    <w:rsid w:val="43806BEF"/>
    <w:rsid w:val="443B5FD6"/>
    <w:rsid w:val="47096CCB"/>
    <w:rsid w:val="48183432"/>
    <w:rsid w:val="482C6361"/>
    <w:rsid w:val="4B7B559A"/>
    <w:rsid w:val="4DA56477"/>
    <w:rsid w:val="4F3C3A44"/>
    <w:rsid w:val="510B2882"/>
    <w:rsid w:val="51D112A9"/>
    <w:rsid w:val="52A72A7B"/>
    <w:rsid w:val="535F2EFF"/>
    <w:rsid w:val="53672A3B"/>
    <w:rsid w:val="54091C4C"/>
    <w:rsid w:val="54870938"/>
    <w:rsid w:val="54FA7835"/>
    <w:rsid w:val="578A11D1"/>
    <w:rsid w:val="583068CA"/>
    <w:rsid w:val="59EA577C"/>
    <w:rsid w:val="5DB56EF5"/>
    <w:rsid w:val="5F7F7910"/>
    <w:rsid w:val="60B10058"/>
    <w:rsid w:val="60BF4B4D"/>
    <w:rsid w:val="62006B35"/>
    <w:rsid w:val="631A1780"/>
    <w:rsid w:val="636D56D8"/>
    <w:rsid w:val="65C23A2F"/>
    <w:rsid w:val="67861C9A"/>
    <w:rsid w:val="67F508F5"/>
    <w:rsid w:val="6AD03706"/>
    <w:rsid w:val="6C0E271F"/>
    <w:rsid w:val="6C8E7C2C"/>
    <w:rsid w:val="6CA170FF"/>
    <w:rsid w:val="6CC63919"/>
    <w:rsid w:val="6D6A2F5A"/>
    <w:rsid w:val="6D8A7364"/>
    <w:rsid w:val="6DA939A4"/>
    <w:rsid w:val="6DBA4C6A"/>
    <w:rsid w:val="6E4F6056"/>
    <w:rsid w:val="6EDC4307"/>
    <w:rsid w:val="704E07CF"/>
    <w:rsid w:val="72B21867"/>
    <w:rsid w:val="73EE158D"/>
    <w:rsid w:val="74AF784E"/>
    <w:rsid w:val="75C04B41"/>
    <w:rsid w:val="75FA1462"/>
    <w:rsid w:val="76303E3E"/>
    <w:rsid w:val="7689308B"/>
    <w:rsid w:val="79D82BF7"/>
    <w:rsid w:val="79E263F5"/>
    <w:rsid w:val="7ABB06D7"/>
    <w:rsid w:val="7BE20509"/>
    <w:rsid w:val="7C246E5C"/>
    <w:rsid w:val="7D6C62BF"/>
    <w:rsid w:val="7E2A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4"/>
    <w:basedOn w:val="1"/>
    <w:next w:val="1"/>
    <w:link w:val="93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4">
    <w:name w:val="heading 6"/>
    <w:basedOn w:val="1"/>
    <w:next w:val="1"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5">
    <w:name w:val="heading 7"/>
    <w:basedOn w:val="1"/>
    <w:next w:val="1"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6">
    <w:name w:val="heading 9"/>
    <w:basedOn w:val="1"/>
    <w:next w:val="1"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</w:r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67"/>
    <w:qFormat/>
    <w:uiPriority w:val="0"/>
    <w:pPr>
      <w:jc w:val="left"/>
    </w:pPr>
  </w:style>
  <w:style w:type="paragraph" w:styleId="8">
    <w:name w:val="Body Text"/>
    <w:basedOn w:val="1"/>
    <w:qFormat/>
    <w:uiPriority w:val="1"/>
    <w:rPr>
      <w:rFonts w:ascii="宋体" w:hAnsi="宋体" w:cs="宋体"/>
      <w:sz w:val="36"/>
      <w:szCs w:val="36"/>
    </w:rPr>
  </w:style>
  <w:style w:type="paragraph" w:styleId="9">
    <w:name w:val="toc 3"/>
    <w:basedOn w:val="1"/>
    <w:next w:val="1"/>
    <w:qFormat/>
    <w:uiPriority w:val="39"/>
    <w:pPr>
      <w:tabs>
        <w:tab w:val="right" w:leader="dot" w:pos="9344"/>
      </w:tabs>
      <w:ind w:firstLine="210" w:firstLineChars="100"/>
    </w:pPr>
  </w:style>
  <w:style w:type="paragraph" w:styleId="10">
    <w:name w:val="Plain Text"/>
    <w:basedOn w:val="1"/>
    <w:link w:val="71"/>
    <w:qFormat/>
    <w:uiPriority w:val="0"/>
    <w:rPr>
      <w:rFonts w:ascii="宋体" w:hAnsi="Courier New"/>
      <w:sz w:val="28"/>
      <w:szCs w:val="20"/>
    </w:rPr>
  </w:style>
  <w:style w:type="paragraph" w:styleId="11">
    <w:name w:val="Date"/>
    <w:basedOn w:val="1"/>
    <w:next w:val="1"/>
    <w:link w:val="66"/>
    <w:qFormat/>
    <w:uiPriority w:val="0"/>
    <w:pPr>
      <w:ind w:left="100" w:leftChars="2500"/>
    </w:pPr>
  </w:style>
  <w:style w:type="paragraph" w:styleId="12">
    <w:name w:val="Balloon Text"/>
    <w:basedOn w:val="1"/>
    <w:link w:val="81"/>
    <w:qFormat/>
    <w:uiPriority w:val="0"/>
    <w:rPr>
      <w:sz w:val="18"/>
      <w:szCs w:val="18"/>
    </w:rPr>
  </w:style>
  <w:style w:type="paragraph" w:styleId="13">
    <w:name w:val="footer"/>
    <w:basedOn w:val="1"/>
    <w:link w:val="57"/>
    <w:qFormat/>
    <w:uiPriority w:val="0"/>
    <w:pPr>
      <w:snapToGrid w:val="0"/>
      <w:ind w:right="210" w:rightChars="100"/>
      <w:jc w:val="right"/>
    </w:pPr>
    <w:rPr>
      <w:sz w:val="18"/>
      <w:szCs w:val="18"/>
    </w:rPr>
  </w:style>
  <w:style w:type="paragraph" w:styleId="14">
    <w:name w:val="header"/>
    <w:basedOn w:val="1"/>
    <w:link w:val="65"/>
    <w:qFormat/>
    <w:uiPriority w:val="99"/>
    <w:pPr>
      <w:snapToGrid w:val="0"/>
      <w:jc w:val="left"/>
    </w:pPr>
    <w:rPr>
      <w:sz w:val="18"/>
      <w:szCs w:val="18"/>
    </w:rPr>
  </w:style>
  <w:style w:type="paragraph" w:styleId="15">
    <w:name w:val="toc 1"/>
    <w:basedOn w:val="1"/>
    <w:next w:val="1"/>
    <w:qFormat/>
    <w:uiPriority w:val="39"/>
  </w:style>
  <w:style w:type="paragraph" w:styleId="16">
    <w:name w:val="toc 2"/>
    <w:basedOn w:val="1"/>
    <w:next w:val="1"/>
    <w:qFormat/>
    <w:uiPriority w:val="39"/>
    <w:pPr>
      <w:ind w:left="420" w:leftChars="200"/>
    </w:pPr>
  </w:style>
  <w:style w:type="paragraph" w:styleId="1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8">
    <w:name w:val="Title"/>
    <w:basedOn w:val="1"/>
    <w:next w:val="1"/>
    <w:link w:val="58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9">
    <w:name w:val="annotation subject"/>
    <w:basedOn w:val="7"/>
    <w:next w:val="7"/>
    <w:link w:val="68"/>
    <w:qFormat/>
    <w:uiPriority w:val="0"/>
    <w:rPr>
      <w:b/>
      <w:bCs/>
    </w:rPr>
  </w:style>
  <w:style w:type="table" w:styleId="21">
    <w:name w:val="Table Grid"/>
    <w:basedOn w:val="20"/>
    <w:qFormat/>
    <w:uiPriority w:val="59"/>
    <w:rPr>
      <w:rFonts w:ascii="宋体"/>
      <w:sz w:val="18"/>
      <w:szCs w:val="1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Emphasis"/>
    <w:qFormat/>
    <w:uiPriority w:val="0"/>
    <w:rPr>
      <w:i/>
    </w:rPr>
  </w:style>
  <w:style w:type="character" w:styleId="25">
    <w:name w:val="Hyperlink"/>
    <w:basedOn w:val="2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6">
    <w:name w:val="annotation reference"/>
    <w:basedOn w:val="22"/>
    <w:qFormat/>
    <w:uiPriority w:val="0"/>
    <w:rPr>
      <w:sz w:val="21"/>
      <w:szCs w:val="21"/>
    </w:rPr>
  </w:style>
  <w:style w:type="paragraph" w:customStyle="1" w:styleId="27">
    <w:name w:val="章标题"/>
    <w:next w:val="1"/>
    <w:qFormat/>
    <w:uiPriority w:val="0"/>
    <w:pPr>
      <w:numPr>
        <w:ilvl w:val="0"/>
        <w:numId w:val="2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8">
    <w:name w:val="段"/>
    <w:link w:val="29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29">
    <w:name w:val="段 Char"/>
    <w:link w:val="28"/>
    <w:qFormat/>
    <w:uiPriority w:val="0"/>
    <w:rPr>
      <w:sz w:val="21"/>
      <w:lang w:val="en-US" w:eastAsia="zh-CN" w:bidi="ar-SA"/>
    </w:rPr>
  </w:style>
  <w:style w:type="paragraph" w:customStyle="1" w:styleId="30">
    <w:name w:val="一级条标题"/>
    <w:basedOn w:val="27"/>
    <w:next w:val="1"/>
    <w:qFormat/>
    <w:uiPriority w:val="0"/>
    <w:pPr>
      <w:numPr>
        <w:ilvl w:val="1"/>
      </w:numPr>
      <w:spacing w:before="156" w:beforeLines="50" w:after="156" w:afterLines="50"/>
      <w:ind w:left="0"/>
      <w:outlineLvl w:val="2"/>
    </w:pPr>
    <w:rPr>
      <w:szCs w:val="21"/>
    </w:rPr>
  </w:style>
  <w:style w:type="paragraph" w:customStyle="1" w:styleId="31">
    <w:name w:val="二级条标题"/>
    <w:basedOn w:val="30"/>
    <w:next w:val="1"/>
    <w:link w:val="32"/>
    <w:qFormat/>
    <w:uiPriority w:val="0"/>
    <w:pPr>
      <w:numPr>
        <w:ilvl w:val="2"/>
      </w:numPr>
      <w:spacing w:before="50" w:after="50"/>
      <w:outlineLvl w:val="3"/>
    </w:pPr>
  </w:style>
  <w:style w:type="character" w:customStyle="1" w:styleId="32">
    <w:name w:val="二级条标题 Char"/>
    <w:link w:val="31"/>
    <w:qFormat/>
    <w:uiPriority w:val="0"/>
    <w:rPr>
      <w:rFonts w:ascii="黑体" w:eastAsia="黑体"/>
      <w:sz w:val="21"/>
      <w:szCs w:val="21"/>
    </w:rPr>
  </w:style>
  <w:style w:type="paragraph" w:customStyle="1" w:styleId="33">
    <w:name w:val="四级条标题"/>
    <w:basedOn w:val="34"/>
    <w:next w:val="28"/>
    <w:qFormat/>
    <w:uiPriority w:val="0"/>
    <w:pPr>
      <w:numPr>
        <w:ilvl w:val="4"/>
      </w:numPr>
      <w:outlineLvl w:val="5"/>
    </w:pPr>
  </w:style>
  <w:style w:type="paragraph" w:customStyle="1" w:styleId="34">
    <w:name w:val="三级条标题"/>
    <w:basedOn w:val="31"/>
    <w:next w:val="28"/>
    <w:link w:val="35"/>
    <w:qFormat/>
    <w:uiPriority w:val="0"/>
    <w:pPr>
      <w:numPr>
        <w:ilvl w:val="3"/>
      </w:numPr>
      <w:outlineLvl w:val="4"/>
    </w:pPr>
  </w:style>
  <w:style w:type="character" w:customStyle="1" w:styleId="35">
    <w:name w:val="三级条标题 Char"/>
    <w:link w:val="34"/>
    <w:qFormat/>
    <w:uiPriority w:val="0"/>
    <w:rPr>
      <w:rFonts w:ascii="黑体" w:eastAsia="黑体"/>
      <w:sz w:val="21"/>
      <w:szCs w:val="21"/>
    </w:rPr>
  </w:style>
  <w:style w:type="character" w:customStyle="1" w:styleId="36">
    <w:name w:val="三级无 Char"/>
    <w:link w:val="37"/>
    <w:qFormat/>
    <w:uiPriority w:val="0"/>
    <w:rPr>
      <w:rFonts w:ascii="宋体"/>
      <w:sz w:val="21"/>
      <w:szCs w:val="21"/>
    </w:rPr>
  </w:style>
  <w:style w:type="paragraph" w:customStyle="1" w:styleId="37">
    <w:name w:val="三级无"/>
    <w:basedOn w:val="34"/>
    <w:link w:val="36"/>
    <w:qFormat/>
    <w:uiPriority w:val="0"/>
    <w:pPr>
      <w:spacing w:before="0" w:beforeLines="0" w:after="0" w:afterLines="0"/>
    </w:pPr>
    <w:rPr>
      <w:rFonts w:ascii="宋体" w:eastAsia="宋体"/>
    </w:rPr>
  </w:style>
  <w:style w:type="character" w:customStyle="1" w:styleId="38">
    <w:name w:val="二级无 Char"/>
    <w:link w:val="39"/>
    <w:qFormat/>
    <w:uiPriority w:val="0"/>
    <w:rPr>
      <w:rFonts w:ascii="宋体"/>
      <w:sz w:val="21"/>
      <w:szCs w:val="21"/>
    </w:rPr>
  </w:style>
  <w:style w:type="paragraph" w:customStyle="1" w:styleId="39">
    <w:name w:val="二级无"/>
    <w:basedOn w:val="31"/>
    <w:link w:val="38"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40">
    <w:name w:val="字母编号列项（一级）"/>
    <w:qFormat/>
    <w:uiPriority w:val="0"/>
    <w:pPr>
      <w:numPr>
        <w:ilvl w:val="0"/>
        <w:numId w:val="3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41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42">
    <w:name w:val="封面标准代替信息"/>
    <w:qFormat/>
    <w:uiPriority w:val="0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hAnsi="Times New Roman" w:eastAsia="宋体" w:cs="Times New Roman"/>
      <w:sz w:val="21"/>
      <w:szCs w:val="21"/>
      <w:lang w:val="en-US" w:eastAsia="zh-CN" w:bidi="ar-SA"/>
    </w:rPr>
  </w:style>
  <w:style w:type="paragraph" w:customStyle="1" w:styleId="43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44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45">
    <w:name w:val="正文表标题"/>
    <w:next w:val="28"/>
    <w:qFormat/>
    <w:uiPriority w:val="0"/>
    <w:pPr>
      <w:numPr>
        <w:ilvl w:val="0"/>
        <w:numId w:val="4"/>
      </w:numPr>
      <w:tabs>
        <w:tab w:val="left" w:pos="360"/>
      </w:tabs>
      <w:spacing w:before="156" w:beforeLines="50" w:after="156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styleId="46">
    <w:name w:val="List Paragraph"/>
    <w:basedOn w:val="1"/>
    <w:qFormat/>
    <w:uiPriority w:val="1"/>
    <w:pPr>
      <w:ind w:left="3192" w:hanging="384"/>
    </w:pPr>
    <w:rPr>
      <w:rFonts w:ascii="宋体" w:hAnsi="宋体" w:cs="宋体"/>
    </w:rPr>
  </w:style>
  <w:style w:type="paragraph" w:customStyle="1" w:styleId="47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8">
    <w:name w:val="封面标准号2"/>
    <w:qFormat/>
    <w:uiPriority w:val="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49">
    <w:name w:val="前言、引言标题"/>
    <w:next w:val="28"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50">
    <w:name w:val="终结线"/>
    <w:basedOn w:val="1"/>
    <w:qFormat/>
    <w:uiPriority w:val="0"/>
    <w:pPr>
      <w:framePr w:hSpace="181" w:vSpace="181" w:wrap="around" w:vAnchor="text" w:hAnchor="margin" w:xAlign="center" w:y="285"/>
    </w:pPr>
  </w:style>
  <w:style w:type="paragraph" w:customStyle="1" w:styleId="51">
    <w:name w:val="正文公式编号制表符"/>
    <w:basedOn w:val="28"/>
    <w:next w:val="28"/>
    <w:qFormat/>
    <w:uiPriority w:val="0"/>
    <w:pPr>
      <w:ind w:firstLine="0" w:firstLineChars="0"/>
    </w:pPr>
  </w:style>
  <w:style w:type="paragraph" w:customStyle="1" w:styleId="52">
    <w:name w:val="目次、标准名称标题"/>
    <w:basedOn w:val="1"/>
    <w:next w:val="28"/>
    <w:qFormat/>
    <w:uiPriority w:val="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53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54">
    <w:name w:val="其他发布日期"/>
    <w:basedOn w:val="55"/>
    <w:qFormat/>
    <w:uiPriority w:val="0"/>
    <w:pPr>
      <w:framePr w:wrap="around" w:vAnchor="page" w:hAnchor="text" w:x="1419"/>
    </w:pPr>
  </w:style>
  <w:style w:type="paragraph" w:customStyle="1" w:styleId="55">
    <w:name w:val="发布日期"/>
    <w:qFormat/>
    <w:uiPriority w:val="0"/>
    <w:pPr>
      <w:framePr w:w="3997" w:h="471" w:hRule="exact" w:vSpace="181" w:wrap="around" w:vAnchor="margin" w:hAnchor="page" w:x="7089" w:y="14097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56">
    <w:name w:val="TOC 标题1"/>
    <w:basedOn w:val="2"/>
    <w:next w:val="1"/>
    <w:unhideWhenUsed/>
    <w:qFormat/>
    <w:uiPriority w:val="39"/>
    <w:pPr>
      <w:keepNext/>
      <w:keepLines/>
      <w:widowControl/>
      <w:spacing w:before="240" w:beforeAutospacing="0" w:after="0" w:afterAutospacing="0" w:line="259" w:lineRule="auto"/>
      <w:outlineLvl w:val="9"/>
    </w:pPr>
    <w:rPr>
      <w:rFonts w:hint="default" w:asciiTheme="majorHAnsi" w:hAnsiTheme="majorHAnsi" w:eastAsiaTheme="majorEastAsia" w:cstheme="majorBidi"/>
      <w:b w:val="0"/>
      <w:color w:val="2F5597" w:themeColor="accent1" w:themeShade="BF"/>
      <w:kern w:val="0"/>
      <w:sz w:val="32"/>
      <w:szCs w:val="32"/>
    </w:rPr>
  </w:style>
  <w:style w:type="character" w:customStyle="1" w:styleId="57">
    <w:name w:val="页脚 字符"/>
    <w:basedOn w:val="22"/>
    <w:link w:val="13"/>
    <w:qFormat/>
    <w:uiPriority w:val="0"/>
    <w:rPr>
      <w:kern w:val="2"/>
      <w:sz w:val="18"/>
      <w:szCs w:val="18"/>
    </w:rPr>
  </w:style>
  <w:style w:type="character" w:customStyle="1" w:styleId="58">
    <w:name w:val="标题 字符1"/>
    <w:basedOn w:val="22"/>
    <w:link w:val="18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59">
    <w:name w:val="未处理的提及1"/>
    <w:basedOn w:val="2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60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1">
    <w:name w:val="段(正文）"/>
    <w:qFormat/>
    <w:uiPriority w:val="0"/>
    <w:pPr>
      <w:autoSpaceDE w:val="0"/>
      <w:autoSpaceDN w:val="0"/>
      <w:ind w:firstLine="42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62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3">
    <w:name w:val="TOC 标题2"/>
    <w:basedOn w:val="2"/>
    <w:next w:val="1"/>
    <w:unhideWhenUsed/>
    <w:qFormat/>
    <w:uiPriority w:val="39"/>
    <w:pPr>
      <w:keepNext/>
      <w:keepLines/>
      <w:widowControl/>
      <w:spacing w:before="240" w:beforeAutospacing="0" w:after="0" w:afterAutospacing="0" w:line="259" w:lineRule="auto"/>
      <w:outlineLvl w:val="9"/>
    </w:pPr>
    <w:rPr>
      <w:rFonts w:hint="default" w:asciiTheme="majorHAnsi" w:hAnsiTheme="majorHAnsi" w:eastAsiaTheme="majorEastAsia" w:cstheme="majorBidi"/>
      <w:b w:val="0"/>
      <w:color w:val="2F5597" w:themeColor="accent1" w:themeShade="BF"/>
      <w:kern w:val="0"/>
      <w:sz w:val="32"/>
      <w:szCs w:val="32"/>
    </w:rPr>
  </w:style>
  <w:style w:type="paragraph" w:customStyle="1" w:styleId="64">
    <w:name w:val="注×：（正文）"/>
    <w:qFormat/>
    <w:uiPriority w:val="0"/>
    <w:p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character" w:customStyle="1" w:styleId="65">
    <w:name w:val="页眉 字符"/>
    <w:basedOn w:val="22"/>
    <w:link w:val="14"/>
    <w:qFormat/>
    <w:uiPriority w:val="99"/>
    <w:rPr>
      <w:kern w:val="2"/>
      <w:sz w:val="18"/>
      <w:szCs w:val="18"/>
    </w:rPr>
  </w:style>
  <w:style w:type="character" w:customStyle="1" w:styleId="66">
    <w:name w:val="日期 字符"/>
    <w:basedOn w:val="22"/>
    <w:link w:val="11"/>
    <w:qFormat/>
    <w:uiPriority w:val="0"/>
    <w:rPr>
      <w:kern w:val="2"/>
      <w:sz w:val="21"/>
      <w:szCs w:val="24"/>
    </w:rPr>
  </w:style>
  <w:style w:type="character" w:customStyle="1" w:styleId="67">
    <w:name w:val="批注文字 字符"/>
    <w:basedOn w:val="22"/>
    <w:link w:val="7"/>
    <w:qFormat/>
    <w:uiPriority w:val="0"/>
    <w:rPr>
      <w:kern w:val="2"/>
      <w:sz w:val="21"/>
      <w:szCs w:val="24"/>
    </w:rPr>
  </w:style>
  <w:style w:type="character" w:customStyle="1" w:styleId="68">
    <w:name w:val="批注主题 字符"/>
    <w:basedOn w:val="67"/>
    <w:link w:val="19"/>
    <w:qFormat/>
    <w:uiPriority w:val="0"/>
    <w:rPr>
      <w:b/>
      <w:bCs/>
      <w:kern w:val="2"/>
      <w:sz w:val="21"/>
      <w:szCs w:val="24"/>
    </w:rPr>
  </w:style>
  <w:style w:type="paragraph" w:customStyle="1" w:styleId="69">
    <w:name w:val="五级条标题"/>
    <w:basedOn w:val="1"/>
    <w:next w:val="61"/>
    <w:qFormat/>
    <w:uiPriority w:val="0"/>
    <w:rPr>
      <w:rFonts w:eastAsia="黑体"/>
      <w:szCs w:val="20"/>
    </w:rPr>
  </w:style>
  <w:style w:type="character" w:customStyle="1" w:styleId="70">
    <w:name w:val="纯文本 字符"/>
    <w:basedOn w:val="22"/>
    <w:qFormat/>
    <w:uiPriority w:val="0"/>
    <w:rPr>
      <w:rFonts w:hAnsi="Courier New" w:cs="Courier New" w:asciiTheme="minorEastAsia" w:eastAsiaTheme="minorEastAsia"/>
      <w:kern w:val="2"/>
      <w:sz w:val="21"/>
      <w:szCs w:val="24"/>
    </w:rPr>
  </w:style>
  <w:style w:type="character" w:customStyle="1" w:styleId="71">
    <w:name w:val="纯文本 字符1"/>
    <w:link w:val="10"/>
    <w:qFormat/>
    <w:uiPriority w:val="0"/>
    <w:rPr>
      <w:rFonts w:ascii="宋体" w:hAnsi="Courier New"/>
      <w:kern w:val="2"/>
      <w:sz w:val="28"/>
    </w:rPr>
  </w:style>
  <w:style w:type="paragraph" w:customStyle="1" w:styleId="72">
    <w:name w:val="标准文件_二级条标题"/>
    <w:next w:val="1"/>
    <w:qFormat/>
    <w:uiPriority w:val="0"/>
    <w:pPr>
      <w:widowControl w:val="0"/>
      <w:numPr>
        <w:ilvl w:val="3"/>
        <w:numId w:val="5"/>
      </w:numPr>
      <w:spacing w:beforeLines="50" w:afterLines="50"/>
      <w:jc w:val="both"/>
      <w:outlineLvl w:val="2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3">
    <w:name w:val="标准文件_三级条标题"/>
    <w:basedOn w:val="72"/>
    <w:next w:val="1"/>
    <w:qFormat/>
    <w:uiPriority w:val="0"/>
    <w:pPr>
      <w:widowControl/>
      <w:numPr>
        <w:ilvl w:val="4"/>
      </w:numPr>
      <w:outlineLvl w:val="3"/>
    </w:pPr>
  </w:style>
  <w:style w:type="paragraph" w:customStyle="1" w:styleId="74">
    <w:name w:val="标准文件_四级条标题"/>
    <w:next w:val="1"/>
    <w:qFormat/>
    <w:uiPriority w:val="0"/>
    <w:pPr>
      <w:widowControl w:val="0"/>
      <w:numPr>
        <w:ilvl w:val="5"/>
        <w:numId w:val="5"/>
      </w:numPr>
      <w:spacing w:beforeLines="50" w:afterLines="50"/>
      <w:ind w:left="0"/>
      <w:jc w:val="both"/>
      <w:outlineLvl w:val="4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5">
    <w:name w:val="标准文件_五级条标题"/>
    <w:next w:val="1"/>
    <w:qFormat/>
    <w:uiPriority w:val="0"/>
    <w:pPr>
      <w:widowControl w:val="0"/>
      <w:numPr>
        <w:ilvl w:val="6"/>
        <w:numId w:val="5"/>
      </w:numPr>
      <w:spacing w:beforeLines="50" w:afterLines="50"/>
      <w:jc w:val="both"/>
      <w:outlineLvl w:val="5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6">
    <w:name w:val="标准文件_章标题"/>
    <w:next w:val="1"/>
    <w:qFormat/>
    <w:uiPriority w:val="0"/>
    <w:pPr>
      <w:numPr>
        <w:ilvl w:val="1"/>
        <w:numId w:val="5"/>
      </w:numPr>
      <w:spacing w:beforeLines="100" w:afterLines="100"/>
      <w:jc w:val="both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7">
    <w:name w:val="标准文件_一级条标题"/>
    <w:basedOn w:val="76"/>
    <w:next w:val="1"/>
    <w:qFormat/>
    <w:uiPriority w:val="0"/>
    <w:pPr>
      <w:numPr>
        <w:ilvl w:val="2"/>
      </w:numPr>
      <w:spacing w:beforeLines="50" w:afterLines="50"/>
      <w:outlineLvl w:val="1"/>
    </w:pPr>
  </w:style>
  <w:style w:type="paragraph" w:customStyle="1" w:styleId="78">
    <w:name w:val="附录标识"/>
    <w:basedOn w:val="1"/>
    <w:qFormat/>
    <w:uiPriority w:val="0"/>
    <w:pPr>
      <w:widowControl/>
      <w:numPr>
        <w:ilvl w:val="0"/>
        <w:numId w:val="5"/>
      </w:num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hAnsi="Calibri" w:eastAsia="黑体"/>
      <w:kern w:val="0"/>
      <w:szCs w:val="20"/>
    </w:rPr>
  </w:style>
  <w:style w:type="paragraph" w:customStyle="1" w:styleId="79">
    <w:name w:val="标准文件_段"/>
    <w:link w:val="80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80">
    <w:name w:val="标准文件_段 Char"/>
    <w:link w:val="79"/>
    <w:qFormat/>
    <w:uiPriority w:val="0"/>
    <w:rPr>
      <w:rFonts w:ascii="宋体"/>
      <w:sz w:val="21"/>
    </w:rPr>
  </w:style>
  <w:style w:type="character" w:customStyle="1" w:styleId="81">
    <w:name w:val="批注框文本 字符"/>
    <w:basedOn w:val="22"/>
    <w:link w:val="12"/>
    <w:qFormat/>
    <w:uiPriority w:val="0"/>
    <w:rPr>
      <w:kern w:val="2"/>
      <w:sz w:val="18"/>
      <w:szCs w:val="18"/>
    </w:rPr>
  </w:style>
  <w:style w:type="paragraph" w:customStyle="1" w:styleId="82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3">
    <w:name w:val="font21"/>
    <w:basedOn w:val="22"/>
    <w:qFormat/>
    <w:uiPriority w:val="0"/>
    <w:rPr>
      <w:rFonts w:hint="default" w:ascii="Times New Roman" w:hAnsi="Times New Roman" w:cs="Times New Roman"/>
      <w:color w:val="000000"/>
      <w:sz w:val="13"/>
      <w:szCs w:val="13"/>
      <w:u w:val="none"/>
    </w:rPr>
  </w:style>
  <w:style w:type="character" w:customStyle="1" w:styleId="84">
    <w:name w:val="font11"/>
    <w:basedOn w:val="22"/>
    <w:qFormat/>
    <w:uiPriority w:val="0"/>
    <w:rPr>
      <w:rFonts w:hint="default" w:ascii="等线" w:hAnsi="等线" w:eastAsia="等线" w:cs="等线"/>
      <w:color w:val="000000"/>
      <w:sz w:val="13"/>
      <w:szCs w:val="13"/>
      <w:u w:val="none"/>
    </w:rPr>
  </w:style>
  <w:style w:type="character" w:customStyle="1" w:styleId="85">
    <w:name w:val="font31"/>
    <w:basedOn w:val="22"/>
    <w:qFormat/>
    <w:uiPriority w:val="0"/>
    <w:rPr>
      <w:rFonts w:hint="eastAsia" w:ascii="宋体" w:hAnsi="宋体" w:eastAsia="宋体" w:cs="宋体"/>
      <w:color w:val="000000"/>
      <w:sz w:val="13"/>
      <w:szCs w:val="13"/>
      <w:u w:val="none"/>
    </w:rPr>
  </w:style>
  <w:style w:type="character" w:customStyle="1" w:styleId="86">
    <w:name w:val="font41"/>
    <w:basedOn w:val="22"/>
    <w:qFormat/>
    <w:uiPriority w:val="0"/>
    <w:rPr>
      <w:rFonts w:hint="default" w:ascii="Times New Roman" w:hAnsi="Times New Roman" w:cs="Times New Roman"/>
      <w:color w:val="000000"/>
      <w:sz w:val="13"/>
      <w:szCs w:val="13"/>
      <w:u w:val="none"/>
      <w:vertAlign w:val="subscript"/>
    </w:rPr>
  </w:style>
  <w:style w:type="character" w:customStyle="1" w:styleId="87">
    <w:name w:val="font51"/>
    <w:basedOn w:val="22"/>
    <w:qFormat/>
    <w:uiPriority w:val="0"/>
    <w:rPr>
      <w:rFonts w:hint="default" w:ascii="Times New Roman" w:hAnsi="Times New Roman" w:cs="Times New Roman"/>
      <w:color w:val="000000"/>
      <w:sz w:val="13"/>
      <w:szCs w:val="13"/>
      <w:u w:val="none"/>
      <w:vertAlign w:val="superscript"/>
    </w:rPr>
  </w:style>
  <w:style w:type="paragraph" w:customStyle="1" w:styleId="88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9">
    <w:name w:val="Char"/>
    <w:basedOn w:val="1"/>
    <w:autoRedefine/>
    <w:qFormat/>
    <w:uiPriority w:val="0"/>
    <w:pPr>
      <w:ind w:firstLine="617" w:firstLineChars="257"/>
    </w:pPr>
    <w:rPr>
      <w:rFonts w:ascii="仿宋_GB2312" w:hAnsi="Tahoma" w:eastAsia="仿宋_GB2312" w:cs="Arial"/>
      <w:sz w:val="24"/>
    </w:rPr>
  </w:style>
  <w:style w:type="character" w:customStyle="1" w:styleId="90">
    <w:name w:val="纯文本 Char"/>
    <w:qFormat/>
    <w:uiPriority w:val="0"/>
    <w:rPr>
      <w:rFonts w:ascii="宋体" w:hAnsi="Courier New"/>
      <w:kern w:val="2"/>
      <w:sz w:val="28"/>
    </w:rPr>
  </w:style>
  <w:style w:type="paragraph" w:customStyle="1" w:styleId="91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2">
    <w:name w:val="标题 字符"/>
    <w:qFormat/>
    <w:uiPriority w:val="0"/>
    <w:rPr>
      <w:rFonts w:ascii="黑体" w:hAnsi="黑体" w:eastAsia="黑体" w:cs="Times New Roman"/>
      <w:b/>
      <w:bCs/>
      <w:kern w:val="2"/>
      <w:sz w:val="21"/>
      <w:szCs w:val="32"/>
    </w:rPr>
  </w:style>
  <w:style w:type="character" w:customStyle="1" w:styleId="93">
    <w:name w:val="标题 4 字符"/>
    <w:basedOn w:val="22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02E4DD-4AF3-4FEA-B476-E553AF79BF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148</Words>
  <Characters>156</Characters>
  <Lines>36</Lines>
  <Paragraphs>10</Paragraphs>
  <TotalTime>4598</TotalTime>
  <ScaleCrop>false</ScaleCrop>
  <LinksUpToDate>false</LinksUpToDate>
  <CharactersWithSpaces>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2023-12-25T03:41:00Z</dcterms:created>
  <dc:creator>Guangyu Xu</dc:creator>
  <cp:lastModifiedBy>吴玉芹</cp:lastModifiedBy>
  <cp:lastPrinted>2026-06-05T03:28:00Z</cp:lastPrinted>
  <dcterms:modified xsi:type="dcterms:W3CDTF">2026-09-21T04:24:27Z</dcterms:modified>
  <cp:revision>881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68A926DD8E5942AFA1DDD49F9E11CCD7</vt:lpwstr>
  </property>
  <property fmtid="{D5CDD505-2E9C-101B-9397-08002B2CF9AE}" pid="4" name="KSOTemplateDocerSaveRecord">
    <vt:lpwstr>eyJoZGlkIjoiZWZmYWQ5Y2MwZGI0NDUzNzgyNDBlMDAzYWY3NWVjZDciLCJ1c2VySWQiOiI0NTY5NDU5ODIifQ==</vt:lpwstr>
  </property>
</Properties>
</file>