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25EE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81400F3">
            <w:pPr>
              <w:framePr w:wrap="notBeside" w:vAnchor="page" w:hAnchor="page" w:x="1036" w:y="588"/>
              <w:snapToGrid w:val="0"/>
              <w:spacing w:line="300" w:lineRule="auto"/>
              <w:ind w:firstLine="0" w:firstLineChars="0"/>
              <w:rPr>
                <w:rFonts w:eastAsia="宋体" w:cs="Times New Roman"/>
                <w:szCs w:val="21"/>
              </w:rPr>
            </w:pPr>
            <w:bookmarkStart w:id="0" w:name="_Hlk192512789"/>
            <w:r>
              <w:rPr>
                <w:rFonts w:eastAsia="宋体" w:cs="Times New Roman"/>
                <w:szCs w:val="21"/>
              </w:rPr>
              <w:t>ICS</w:t>
            </w:r>
          </w:p>
        </w:tc>
        <w:tc>
          <w:tcPr>
            <w:tcW w:w="8855" w:type="dxa"/>
          </w:tcPr>
          <w:p w14:paraId="427537E7">
            <w:pPr>
              <w:framePr w:wrap="notBeside" w:vAnchor="page" w:hAnchor="page" w:x="1036" w:y="588"/>
              <w:snapToGrid w:val="0"/>
              <w:spacing w:line="300" w:lineRule="auto"/>
              <w:ind w:firstLine="0" w:firstLineChars="0"/>
              <w:rPr>
                <w:rFonts w:eastAsia="宋体" w:cs="Times New Roman"/>
                <w:szCs w:val="21"/>
              </w:rPr>
            </w:pPr>
            <w:r>
              <w:rPr>
                <w:rFonts w:eastAsia="宋体" w:cs="Times New Roman"/>
                <w:szCs w:val="21"/>
              </w:rPr>
              <w:fldChar w:fldCharType="begin">
                <w:ffData>
                  <w:name w:val="ICS"/>
                  <w:enabled/>
                  <w:calcOnExit w:val="0"/>
                  <w:textInput>
                    <w:default w:val="93.160"/>
                  </w:textInput>
                </w:ffData>
              </w:fldChar>
            </w:r>
            <w:bookmarkStart w:id="1" w:name="ICS"/>
            <w:r>
              <w:rPr>
                <w:rFonts w:eastAsia="宋体" w:cs="Times New Roman"/>
                <w:szCs w:val="21"/>
              </w:rPr>
              <w:instrText xml:space="preserve"> FORMTEXT </w:instrText>
            </w:r>
            <w:r>
              <w:rPr>
                <w:rFonts w:eastAsia="宋体" w:cs="Times New Roman"/>
                <w:szCs w:val="21"/>
              </w:rPr>
              <w:fldChar w:fldCharType="separate"/>
            </w:r>
            <w:r>
              <w:rPr>
                <w:rFonts w:eastAsia="宋体" w:cs="Times New Roman"/>
                <w:szCs w:val="21"/>
              </w:rPr>
              <w:t>93.160</w:t>
            </w:r>
            <w:r>
              <w:rPr>
                <w:rFonts w:eastAsia="宋体" w:cs="Times New Roman"/>
                <w:szCs w:val="21"/>
              </w:rPr>
              <w:fldChar w:fldCharType="end"/>
            </w:r>
            <w:bookmarkEnd w:id="1"/>
          </w:p>
        </w:tc>
      </w:tr>
      <w:tr w14:paraId="5DFEB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8BDC240">
            <w:pPr>
              <w:framePr w:wrap="notBeside" w:vAnchor="page" w:hAnchor="page" w:x="1036" w:y="588"/>
              <w:snapToGrid w:val="0"/>
              <w:spacing w:line="300" w:lineRule="auto"/>
              <w:ind w:firstLine="0" w:firstLineChars="0"/>
              <w:rPr>
                <w:rFonts w:eastAsia="宋体" w:cs="Times New Roman"/>
                <w:szCs w:val="21"/>
              </w:rPr>
            </w:pPr>
            <w:r>
              <w:rPr>
                <w:rFonts w:eastAsia="宋体" w:cs="Times New Roman"/>
                <w:szCs w:val="21"/>
              </w:rPr>
              <w:t>CCS</w:t>
            </w:r>
          </w:p>
        </w:tc>
        <w:tc>
          <w:tcPr>
            <w:tcW w:w="8855" w:type="dxa"/>
          </w:tcPr>
          <w:tbl>
            <w:tblPr>
              <w:tblStyle w:val="1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ACFDC0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32D1EF23">
                  <w:pPr>
                    <w:framePr w:wrap="notBeside" w:vAnchor="page" w:hAnchor="page" w:x="1036" w:y="588"/>
                    <w:widowControl/>
                    <w:shd w:val="solid" w:color="FFFFFF" w:fill="FFFFFF"/>
                    <w:spacing w:line="300" w:lineRule="auto"/>
                    <w:ind w:left="420" w:right="624" w:firstLine="0" w:firstLineChars="0"/>
                    <w:jc w:val="center"/>
                    <w:rPr>
                      <w:rFonts w:eastAsia="宋体" w:cs="Times New Roman"/>
                      <w:b/>
                      <w:w w:val="130"/>
                      <w:kern w:val="0"/>
                      <w:sz w:val="28"/>
                      <w:szCs w:val="28"/>
                    </w:rPr>
                  </w:pPr>
                  <w:r>
                    <w:rPr>
                      <w:rFonts w:eastAsia="宋体" w:cs="Times New Roman"/>
                      <w:b/>
                      <w:w w:val="130"/>
                      <w:kern w:val="0"/>
                      <w:sz w:val="96"/>
                      <w:szCs w:val="20"/>
                    </w:rP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rFonts w:eastAsia="宋体" w:cs="Times New Roman"/>
                      <w:b/>
                      <w:w w:val="130"/>
                      <w:kern w:val="0"/>
                      <w:sz w:val="96"/>
                      <w:szCs w:val="20"/>
                    </w:rP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rFonts w:eastAsia="宋体" w:cs="Times New Roman"/>
                      <w:b/>
                      <w:w w:val="130"/>
                      <w:kern w:val="0"/>
                      <w:szCs w:val="21"/>
                    </w:rPr>
                    <w:t xml:space="preserve"> </w:t>
                  </w:r>
                  <w:r>
                    <w:rPr>
                      <w:rFonts w:eastAsia="宋体" w:cs="Times New Roman"/>
                      <w:b/>
                      <w:w w:val="130"/>
                      <w:kern w:val="0"/>
                      <w:sz w:val="96"/>
                      <w:szCs w:val="20"/>
                    </w:rPr>
                    <w:fldChar w:fldCharType="begin">
                      <w:ffData>
                        <w:name w:val="c1"/>
                        <w:enabled/>
                        <w:calcOnExit w:val="0"/>
                        <w:textInput>
                          <w:maxLength w:val="7"/>
                        </w:textInput>
                      </w:ffData>
                    </w:fldChar>
                  </w:r>
                  <w:bookmarkStart w:id="2" w:name="c1"/>
                  <w:r>
                    <w:rPr>
                      <w:rFonts w:eastAsia="宋体" w:cs="Times New Roman"/>
                      <w:b/>
                      <w:w w:val="130"/>
                      <w:kern w:val="0"/>
                      <w:sz w:val="96"/>
                      <w:szCs w:val="20"/>
                    </w:rPr>
                    <w:instrText xml:space="preserve"> FORMTEXT </w:instrText>
                  </w:r>
                  <w:r>
                    <w:rPr>
                      <w:rFonts w:eastAsia="宋体" w:cs="Times New Roman"/>
                      <w:b/>
                      <w:w w:val="130"/>
                      <w:kern w:val="0"/>
                      <w:sz w:val="96"/>
                      <w:szCs w:val="20"/>
                    </w:rPr>
                    <w:fldChar w:fldCharType="separate"/>
                  </w:r>
                  <w:r>
                    <w:rPr>
                      <w:rFonts w:eastAsia="宋体" w:cs="Times New Roman"/>
                      <w:b/>
                      <w:w w:val="130"/>
                      <w:kern w:val="0"/>
                      <w:sz w:val="96"/>
                      <w:szCs w:val="20"/>
                    </w:rPr>
                    <w:t>JSGS</w:t>
                  </w:r>
                  <w:r>
                    <w:rPr>
                      <w:rFonts w:eastAsia="宋体" w:cs="Times New Roman"/>
                      <w:b/>
                      <w:w w:val="130"/>
                      <w:kern w:val="0"/>
                      <w:sz w:val="96"/>
                      <w:szCs w:val="20"/>
                    </w:rPr>
                    <w:fldChar w:fldCharType="end"/>
                  </w:r>
                  <w:bookmarkEnd w:id="2"/>
                </w:p>
              </w:tc>
            </w:tr>
          </w:tbl>
          <w:p w14:paraId="53397307">
            <w:pPr>
              <w:framePr w:wrap="notBeside" w:vAnchor="page" w:hAnchor="page" w:x="1036" w:y="588"/>
              <w:snapToGrid w:val="0"/>
              <w:spacing w:line="300" w:lineRule="auto"/>
              <w:ind w:firstLine="0" w:firstLineChars="0"/>
              <w:rPr>
                <w:rFonts w:eastAsia="宋体" w:cs="Times New Roman"/>
                <w:szCs w:val="21"/>
              </w:rPr>
            </w:pPr>
            <w:r>
              <w:rPr>
                <w:rFonts w:eastAsia="宋体" w:cs="Times New Roman"/>
                <w:szCs w:val="21"/>
              </w:rPr>
              <w:fldChar w:fldCharType="begin">
                <w:ffData>
                  <w:name w:val="CSDN"/>
                  <w:enabled w:val="0"/>
                  <w:calcOnExit w:val="0"/>
                  <w:textInput>
                    <w:default w:val="P 97"/>
                  </w:textInput>
                </w:ffData>
              </w:fldChar>
            </w:r>
            <w:bookmarkStart w:id="3" w:name="CSDN"/>
            <w:r>
              <w:rPr>
                <w:rFonts w:eastAsia="宋体" w:cs="Times New Roman"/>
                <w:szCs w:val="21"/>
              </w:rPr>
              <w:instrText xml:space="preserve"> FORMTEXT </w:instrText>
            </w:r>
            <w:r>
              <w:rPr>
                <w:rFonts w:eastAsia="宋体" w:cs="Times New Roman"/>
                <w:szCs w:val="21"/>
              </w:rPr>
              <w:fldChar w:fldCharType="separate"/>
            </w:r>
            <w:r>
              <w:rPr>
                <w:rFonts w:eastAsia="宋体" w:cs="Times New Roman"/>
                <w:szCs w:val="21"/>
              </w:rPr>
              <w:t>P 97</w:t>
            </w:r>
            <w:r>
              <w:rPr>
                <w:rFonts w:eastAsia="宋体" w:cs="Times New Roman"/>
                <w:szCs w:val="21"/>
              </w:rPr>
              <w:fldChar w:fldCharType="end"/>
            </w:r>
            <w:bookmarkEnd w:id="3"/>
          </w:p>
        </w:tc>
      </w:tr>
      <w:bookmarkEnd w:id="0"/>
    </w:tbl>
    <w:p w14:paraId="0F98EB67">
      <w:pPr>
        <w:pStyle w:val="39"/>
      </w:pPr>
      <w:bookmarkStart w:id="4" w:name="_Hlk26473981"/>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JSGS</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t>—2026</w:t>
      </w:r>
    </w:p>
    <w:p w14:paraId="788B9A3E">
      <w:pPr>
        <w:pStyle w:val="40"/>
      </w:pPr>
      <w:r>
        <w:fldChar w:fldCharType="begin">
          <w:ffData>
            <w:name w:val="OSTD_CODE"/>
            <w:enabled/>
            <w:calcOnExit w:val="0"/>
            <w:textInput/>
          </w:ffData>
        </w:fldChar>
      </w:r>
      <w:bookmarkStart w:id="7" w:name="OSTD_CODE"/>
      <w:r>
        <w:instrText xml:space="preserve"> FORMTEXT </w:instrText>
      </w:r>
      <w:r>
        <w:fldChar w:fldCharType="separate"/>
      </w:r>
      <w:r>
        <w:t>     </w:t>
      </w:r>
      <w:r>
        <w:fldChar w:fldCharType="end"/>
      </w:r>
      <w:bookmarkEnd w:id="7"/>
    </w:p>
    <w:p w14:paraId="1EA935D6">
      <w:pPr>
        <w:pStyle w:val="38"/>
        <w:framePr w:wrap="around"/>
        <w:ind w:firstLine="482"/>
        <w:rPr>
          <w:b/>
          <w:szCs w:val="48"/>
        </w:rPr>
      </w:pPr>
      <w:r>
        <w:rPr>
          <w:b/>
        </w:rPr>
        <w:fldChar w:fldCharType="begin">
          <w:ffData>
            <w:name w:val="c2"/>
            <w:enabled/>
            <w:calcOnExit w:val="0"/>
            <w:textInput/>
          </w:ffData>
        </w:fldChar>
      </w:r>
      <w:bookmarkStart w:id="8" w:name="c2"/>
      <w:r>
        <w:instrText xml:space="preserve"> FORMTEXT </w:instrText>
      </w:r>
      <w:r>
        <w:rPr>
          <w:b/>
        </w:rPr>
        <w:fldChar w:fldCharType="separate"/>
      </w:r>
      <w:r>
        <w:t>中国农业节水和农村供水技术协会</w:t>
      </w:r>
      <w:r>
        <w:rPr>
          <w:b/>
        </w:rPr>
        <w:fldChar w:fldCharType="end"/>
      </w:r>
      <w:bookmarkEnd w:id="8"/>
      <w:r>
        <w:t>团体</w:t>
      </w:r>
      <w:r>
        <w:rPr>
          <w:szCs w:val="48"/>
        </w:rPr>
        <w:t>标准</w:t>
      </w:r>
    </w:p>
    <w:bookmarkEnd w:id="4"/>
    <w:p w14:paraId="5C830937">
      <w:pPr>
        <w:pStyle w:val="42"/>
        <w:framePr w:wrap="around"/>
        <w:rPr>
          <w:rFonts w:hint="eastAsia"/>
        </w:rPr>
      </w:pPr>
      <w:bookmarkStart w:id="9" w:name="OLE_LINK2"/>
      <w:r>
        <w:fldChar w:fldCharType="begin">
          <w:ffData>
            <w:name w:val="CSTD_NAME"/>
            <w:enabled/>
            <w:calcOnExit w:val="0"/>
            <w:textInput>
              <w:default w:val="大型灌溉管网工程安全运行管理技术规程"/>
            </w:textInput>
          </w:ffData>
        </w:fldChar>
      </w:r>
      <w:bookmarkStart w:id="10" w:name="CSTD_NAME"/>
      <w:r>
        <w:instrText xml:space="preserve"> FORMTEXT </w:instrText>
      </w:r>
      <w:r>
        <w:fldChar w:fldCharType="separate"/>
      </w:r>
      <w:r>
        <w:t>大型灌溉管网工程安全运行管理技术规程</w:t>
      </w:r>
      <w:r>
        <w:fldChar w:fldCharType="end"/>
      </w:r>
      <w:bookmarkEnd w:id="10"/>
    </w:p>
    <w:bookmarkEnd w:id="9"/>
    <w:p w14:paraId="2A055ED8">
      <w:pPr>
        <w:framePr w:w="9639" w:h="6974" w:hRule="exact" w:wrap="around" w:vAnchor="page" w:hAnchor="page" w:x="1419" w:y="6408" w:anchorLock="1"/>
        <w:spacing w:line="300" w:lineRule="auto"/>
        <w:ind w:left="-1418" w:firstLine="420"/>
        <w:rPr>
          <w:rFonts w:eastAsia="宋体" w:cs="Times New Roman"/>
        </w:rPr>
      </w:pPr>
    </w:p>
    <w:p w14:paraId="2B145279">
      <w:pPr>
        <w:pStyle w:val="41"/>
        <w:framePr w:wrap="around"/>
      </w:pPr>
      <w:r>
        <w:fldChar w:fldCharType="begin">
          <w:ffData>
            <w:name w:val="ESTD_NAME"/>
            <w:enabled/>
            <w:calcOnExit w:val="0"/>
            <w:textInput>
              <w:default w:val="Technical Standards for Safe Operation and Management of Large scale Irrigation Pipeline Network Projects"/>
            </w:textInput>
          </w:ffData>
        </w:fldChar>
      </w:r>
      <w:bookmarkStart w:id="11" w:name="ESTD_NAME"/>
      <w:r>
        <w:instrText xml:space="preserve"> FORMTEXT </w:instrText>
      </w:r>
      <w:r>
        <w:fldChar w:fldCharType="separate"/>
      </w:r>
      <w:r>
        <w:t>Technical Standards for Safe Operation and Management of Large scale Irrigation Pipeline Network Projects</w:t>
      </w:r>
      <w:r>
        <w:fldChar w:fldCharType="end"/>
      </w:r>
      <w:bookmarkEnd w:id="11"/>
    </w:p>
    <w:p w14:paraId="45ACA2CE">
      <w:pPr>
        <w:framePr w:w="9639" w:h="6974" w:hRule="exact" w:wrap="around" w:vAnchor="page" w:hAnchor="page" w:x="1419" w:y="6408" w:anchorLock="1"/>
        <w:spacing w:line="300" w:lineRule="auto"/>
        <w:ind w:left="-1418" w:firstLine="420"/>
        <w:rPr>
          <w:rFonts w:eastAsia="宋体" w:cs="Times New Roman"/>
        </w:rPr>
      </w:pPr>
    </w:p>
    <w:p w14:paraId="0AEE912E">
      <w:pPr>
        <w:pStyle w:val="41"/>
        <w:framePr w:wrap="around"/>
      </w:pPr>
      <w:r>
        <w:t>（征求意见稿）</w:t>
      </w:r>
    </w:p>
    <w:p w14:paraId="7D444B1A">
      <w:pPr>
        <w:pStyle w:val="41"/>
        <w:framePr w:wrap="around"/>
      </w:pPr>
    </w:p>
    <w:p w14:paraId="400229E5">
      <w:pPr>
        <w:pStyle w:val="41"/>
        <w:framePr w:wrap="around"/>
      </w:pPr>
    </w:p>
    <w:p w14:paraId="2E0DFD00">
      <w:pPr>
        <w:pStyle w:val="43"/>
        <w:framePr w:wrap="around" w:x="1548" w:y="14167"/>
        <w:spacing w:line="300" w:lineRule="auto"/>
        <w:ind w:firstLine="480"/>
        <w:jc w:val="both"/>
        <w:rPr>
          <w:rFonts w:eastAsia="宋体"/>
        </w:rPr>
      </w:pPr>
      <w:bookmarkStart w:id="12" w:name="_Hlk192512744"/>
      <w:r>
        <w:rPr>
          <w:rFonts w:eastAsia="宋体"/>
        </w:rPr>
        <w:fldChar w:fldCharType="begin">
          <w:ffData>
            <w:name w:val="PLSH_DATE_Y"/>
            <w:enabled/>
            <w:calcOnExit w:val="0"/>
            <w:textInput>
              <w:default w:val="XXXX"/>
              <w:maxLength w:val="4"/>
            </w:textInput>
          </w:ffData>
        </w:fldChar>
      </w:r>
      <w:bookmarkStart w:id="13" w:name="PLSH_DATE_Y"/>
      <w:r>
        <w:rPr>
          <w:rFonts w:eastAsia="宋体"/>
        </w:rPr>
        <w:instrText xml:space="preserve"> FORMTEXT </w:instrText>
      </w:r>
      <w:r>
        <w:rPr>
          <w:rFonts w:eastAsia="宋体"/>
        </w:rPr>
        <w:fldChar w:fldCharType="separate"/>
      </w:r>
      <w:r>
        <w:rPr>
          <w:rFonts w:eastAsia="宋体"/>
        </w:rPr>
        <w:t>XXXX</w:t>
      </w:r>
      <w:r>
        <w:rPr>
          <w:rFonts w:eastAsia="宋体"/>
        </w:rPr>
        <w:fldChar w:fldCharType="end"/>
      </w:r>
      <w:bookmarkEnd w:id="13"/>
      <w:r>
        <w:rPr>
          <w:rFonts w:eastAsia="宋体"/>
        </w:rPr>
        <w:t xml:space="preserve"> - </w:t>
      </w:r>
      <w:r>
        <w:rPr>
          <w:rFonts w:eastAsia="宋体"/>
        </w:rPr>
        <w:fldChar w:fldCharType="begin">
          <w:ffData>
            <w:name w:val="PLSH_DATE_M"/>
            <w:enabled/>
            <w:calcOnExit w:val="0"/>
            <w:textInput>
              <w:default w:val="XX"/>
              <w:maxLength w:val="2"/>
            </w:textInput>
          </w:ffData>
        </w:fldChar>
      </w:r>
      <w:bookmarkStart w:id="14" w:name="PLSH_DATE_M"/>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14"/>
      <w:r>
        <w:rPr>
          <w:rFonts w:eastAsia="宋体"/>
        </w:rPr>
        <w:t xml:space="preserve"> - </w:t>
      </w:r>
      <w:r>
        <w:rPr>
          <w:rFonts w:eastAsia="宋体"/>
        </w:rPr>
        <w:fldChar w:fldCharType="begin">
          <w:ffData>
            <w:name w:val="PLSH_DATE_D"/>
            <w:enabled/>
            <w:calcOnExit w:val="0"/>
            <w:textInput>
              <w:default w:val="XX"/>
              <w:maxLength w:val="2"/>
            </w:textInput>
          </w:ffData>
        </w:fldChar>
      </w:r>
      <w:bookmarkStart w:id="15" w:name="PLSH_DATE_D"/>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15"/>
      <w:r>
        <w:rPr>
          <w:rFonts w:eastAsia="宋体"/>
        </w:rPr>
        <w:t>发布</w:t>
      </w:r>
    </w:p>
    <w:bookmarkEnd w:id="12"/>
    <w:p w14:paraId="69AFB56D">
      <w:pPr>
        <w:pStyle w:val="44"/>
        <w:framePr w:wrap="around" w:y="14176"/>
        <w:spacing w:line="300" w:lineRule="auto"/>
        <w:ind w:firstLine="480"/>
        <w:jc w:val="both"/>
        <w:rPr>
          <w:rFonts w:eastAsia="宋体"/>
        </w:rPr>
      </w:pPr>
      <w:r>
        <w:rPr>
          <w:rFonts w:eastAsia="宋体"/>
        </w:rPr>
        <w:fldChar w:fldCharType="begin">
          <w:ffData>
            <w:name w:val="CROT_DATE_Y"/>
            <w:enabled/>
            <w:calcOnExit w:val="0"/>
            <w:textInput>
              <w:default w:val="XXXX"/>
              <w:maxLength w:val="4"/>
            </w:textInput>
          </w:ffData>
        </w:fldChar>
      </w:r>
      <w:bookmarkStart w:id="16" w:name="CROT_DATE_Y"/>
      <w:r>
        <w:rPr>
          <w:rFonts w:eastAsia="宋体"/>
        </w:rPr>
        <w:instrText xml:space="preserve"> FORMTEXT </w:instrText>
      </w:r>
      <w:r>
        <w:rPr>
          <w:rFonts w:eastAsia="宋体"/>
        </w:rPr>
        <w:fldChar w:fldCharType="separate"/>
      </w:r>
      <w:r>
        <w:rPr>
          <w:rFonts w:eastAsia="宋体"/>
        </w:rPr>
        <w:t>XXXX</w:t>
      </w:r>
      <w:r>
        <w:rPr>
          <w:rFonts w:eastAsia="宋体"/>
        </w:rPr>
        <w:fldChar w:fldCharType="end"/>
      </w:r>
      <w:bookmarkEnd w:id="16"/>
      <w:r>
        <w:rPr>
          <w:rFonts w:eastAsia="宋体"/>
        </w:rPr>
        <w:t xml:space="preserve"> - </w:t>
      </w:r>
      <w:r>
        <w:rPr>
          <w:rFonts w:eastAsia="宋体"/>
        </w:rPr>
        <w:fldChar w:fldCharType="begin">
          <w:ffData>
            <w:name w:val="CROT_DATE_M"/>
            <w:enabled/>
            <w:calcOnExit w:val="0"/>
            <w:textInput>
              <w:default w:val="XX"/>
              <w:maxLength w:val="2"/>
            </w:textInput>
          </w:ffData>
        </w:fldChar>
      </w:r>
      <w:bookmarkStart w:id="17" w:name="CROT_DATE_M"/>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17"/>
      <w:r>
        <w:rPr>
          <w:rFonts w:eastAsia="宋体"/>
        </w:rPr>
        <w:t xml:space="preserve"> - </w:t>
      </w:r>
      <w:r>
        <w:rPr>
          <w:rFonts w:eastAsia="宋体"/>
        </w:rPr>
        <w:fldChar w:fldCharType="begin">
          <w:ffData>
            <w:name w:val="CROT_DATE_D"/>
            <w:enabled/>
            <w:calcOnExit w:val="0"/>
            <w:textInput>
              <w:default w:val="XX"/>
              <w:maxLength w:val="2"/>
            </w:textInput>
          </w:ffData>
        </w:fldChar>
      </w:r>
      <w:bookmarkStart w:id="18" w:name="CROT_DATE_D"/>
      <w:r>
        <w:rPr>
          <w:rFonts w:eastAsia="宋体"/>
        </w:rPr>
        <w:instrText xml:space="preserve"> FORMTEXT </w:instrText>
      </w:r>
      <w:r>
        <w:rPr>
          <w:rFonts w:eastAsia="宋体"/>
        </w:rPr>
        <w:fldChar w:fldCharType="separate"/>
      </w:r>
      <w:r>
        <w:rPr>
          <w:rFonts w:eastAsia="宋体"/>
        </w:rPr>
        <w:t>XX</w:t>
      </w:r>
      <w:r>
        <w:rPr>
          <w:rFonts w:eastAsia="宋体"/>
        </w:rPr>
        <w:fldChar w:fldCharType="end"/>
      </w:r>
      <w:bookmarkEnd w:id="18"/>
      <w:r>
        <w:rPr>
          <w:rFonts w:eastAsia="宋体"/>
        </w:rPr>
        <w:t>实施</w:t>
      </w:r>
    </w:p>
    <w:p w14:paraId="14CFFAEE">
      <w:pPr>
        <w:spacing w:line="300" w:lineRule="auto"/>
        <w:rPr>
          <w:rFonts w:eastAsia="宋体" w:cs="Times New Roman"/>
          <w:kern w:val="0"/>
          <w:sz w:val="10"/>
          <w:szCs w:val="10"/>
        </w:rPr>
      </w:pPr>
      <w:r>
        <w:rPr>
          <w:rFonts w:eastAsia="宋体" w:cs="Times New Roman"/>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2700020</wp:posOffset>
                </wp:positionV>
                <wp:extent cx="6120130" cy="0"/>
                <wp:effectExtent l="0" t="0" r="0" b="0"/>
                <wp:wrapNone/>
                <wp:docPr id="1790336105"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73"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f4jzNgAAAAMAQAADwAAAAAAAAABACAAAAAiAAAAZHJzL2Rvd25yZXYueG1sUEsBAhQA&#10;FAAAAAgAh07iQNp+95vyAQAAwgMAAA4AAAAAAAAAAQAgAAAAJwEAAGRycy9lMm9Eb2MueG1sUEsF&#10;BgAAAAAGAAYAWQEAAIsFAAAAAA==&#10;">
                <v:fill on="f" focussize="0,0"/>
                <v:stroke color="#000000" joinstyle="round"/>
                <v:imagedata o:title=""/>
                <o:lock v:ext="edit" aspectratio="f"/>
              </v:line>
            </w:pict>
          </mc:Fallback>
        </mc:AlternateContent>
      </w:r>
    </w:p>
    <w:p w14:paraId="09DA3842">
      <w:pPr>
        <w:widowControl/>
        <w:spacing w:line="300" w:lineRule="auto"/>
        <w:ind w:firstLine="0" w:firstLineChars="0"/>
        <w:rPr>
          <w:rFonts w:eastAsia="宋体" w:cs="Times New Roman"/>
          <w:sz w:val="52"/>
          <w:szCs w:val="52"/>
        </w:rPr>
      </w:pPr>
    </w:p>
    <w:p w14:paraId="13ACED82">
      <w:pPr>
        <w:spacing w:line="300" w:lineRule="auto"/>
        <w:ind w:firstLine="420"/>
        <w:rPr>
          <w:rFonts w:eastAsia="宋体" w:cs="Times New Roman"/>
        </w:rPr>
      </w:pPr>
    </w:p>
    <w:p w14:paraId="6C204A2C">
      <w:pPr>
        <w:spacing w:line="300" w:lineRule="auto"/>
        <w:ind w:firstLine="420"/>
        <w:rPr>
          <w:rFonts w:eastAsia="宋体" w:cs="Times New Roman"/>
        </w:rPr>
      </w:pPr>
    </w:p>
    <w:p w14:paraId="2DCA71CC">
      <w:pPr>
        <w:spacing w:line="300" w:lineRule="auto"/>
        <w:ind w:firstLine="420"/>
        <w:rPr>
          <w:rFonts w:eastAsia="宋体" w:cs="Times New Roman"/>
        </w:rPr>
      </w:pPr>
    </w:p>
    <w:p w14:paraId="4A7C63AB">
      <w:pPr>
        <w:pStyle w:val="45"/>
        <w:framePr w:wrap="around" w:y="15222"/>
        <w:rPr>
          <w:rFonts w:ascii="黑体" w:hAnsi="黑体" w:eastAsia="黑体"/>
          <w:bCs w:val="0"/>
        </w:rPr>
      </w:pPr>
      <w:bookmarkStart w:id="19" w:name="_Hlk192513590"/>
      <w:bookmarkStart w:id="20" w:name="_Hlk191794523"/>
      <w:r>
        <w:rPr>
          <w:rFonts w:hint="eastAsia" w:ascii="黑体" w:hAnsi="黑体" w:eastAsia="黑体" w:cs="黑体"/>
        </w:rPr>
        <w:fldChar w:fldCharType="begin">
          <w:ffData>
            <w:name w:val="fm"/>
            <w:enabled/>
            <w:calcOnExit w:val="0"/>
            <w:textInput>
              <w:default w:val="中国农业节水及农村供水技术协会"/>
            </w:textInput>
          </w:ffData>
        </w:fldChar>
      </w:r>
      <w:bookmarkStart w:id="21" w:name="fm"/>
      <w:r>
        <w:rPr>
          <w:rFonts w:hint="eastAsia" w:ascii="黑体" w:hAnsi="黑体" w:eastAsia="黑体" w:cs="黑体"/>
        </w:rPr>
        <w:instrText xml:space="preserve"> FORMTEXT </w:instrText>
      </w:r>
      <w:r>
        <w:rPr>
          <w:rFonts w:hint="eastAsia" w:ascii="黑体" w:hAnsi="黑体" w:eastAsia="黑体" w:cs="黑体"/>
        </w:rPr>
        <w:fldChar w:fldCharType="separate"/>
      </w:r>
      <w:r>
        <w:rPr>
          <w:rFonts w:hint="eastAsia" w:ascii="黑体" w:hAnsi="黑体" w:eastAsia="黑体" w:cs="黑体"/>
        </w:rPr>
        <w:t>中国农业节水及农村供水技术协会</w:t>
      </w:r>
      <w:r>
        <w:rPr>
          <w:rFonts w:hint="eastAsia" w:ascii="黑体" w:hAnsi="黑体" w:eastAsia="黑体" w:cs="黑体"/>
        </w:rPr>
        <w:fldChar w:fldCharType="end"/>
      </w:r>
      <w:bookmarkEnd w:id="21"/>
      <w:r>
        <w:t>  </w:t>
      </w:r>
      <w:r>
        <w:rPr>
          <w:rStyle w:val="46"/>
          <w:rFonts w:hAnsi="黑体"/>
          <w:bCs w:val="0"/>
        </w:rPr>
        <w:t>发布</w:t>
      </w:r>
    </w:p>
    <w:bookmarkEnd w:id="19"/>
    <w:p w14:paraId="210878AE">
      <w:pPr>
        <w:spacing w:line="300" w:lineRule="auto"/>
        <w:ind w:firstLine="0" w:firstLineChars="0"/>
        <w:rPr>
          <w:rFonts w:eastAsia="宋体"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26" w:charSpace="0"/>
        </w:sectPr>
      </w:pPr>
      <w:r>
        <w:rPr>
          <w:rFonts w:eastAsia="宋体" w:cs="Times New Roman"/>
          <w:kern w:val="0"/>
          <w:sz w:val="10"/>
          <w:szCs w:val="10"/>
        </w:rPr>
        <mc:AlternateContent>
          <mc:Choice Requires="wps">
            <w:drawing>
              <wp:anchor distT="0" distB="0" distL="114300" distR="114300" simplePos="0" relativeHeight="251660288" behindDoc="0" locked="0" layoutInCell="1" allowOverlap="0">
                <wp:simplePos x="0" y="0"/>
                <wp:positionH relativeFrom="page">
                  <wp:posOffset>982980</wp:posOffset>
                </wp:positionH>
                <wp:positionV relativeFrom="page">
                  <wp:posOffset>9525635</wp:posOffset>
                </wp:positionV>
                <wp:extent cx="6120130" cy="0"/>
                <wp:effectExtent l="0" t="0" r="0" b="0"/>
                <wp:wrapNone/>
                <wp:docPr id="4"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73" o:spid="_x0000_s1026" o:spt="20" style="position:absolute;left:0pt;margin-left:77.4pt;margin-top:750.05pt;height:0pt;width:481.9pt;mso-position-horizontal-relative:page;mso-position-vertical-relative:page;z-index:251660288;mso-width-relative:page;mso-height-relative:page;" filled="f" stroked="t" coordsize="21600,21600" o:allowoverlap="f" o:gfxdata="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Zye&#10;g9cAAAAOAQAADwAAAAAAAAABACAAAAAiAAAAZHJzL2Rvd25yZXYueG1sUEsBAhQAFAAAAAgAh07i&#10;QMymeRTqAQAAuQMAAA4AAAAAAAAAAQAgAAAAJgEAAGRycy9lMm9Eb2MueG1sUEsFBgAAAAAGAAYA&#10;WQEAAIIFAAAAAA==&#10;">
                <v:fill on="f" focussize="0,0"/>
                <v:stroke color="#000000" joinstyle="round"/>
                <v:imagedata o:title=""/>
                <o:lock v:ext="edit" aspectratio="f"/>
              </v:line>
            </w:pict>
          </mc:Fallback>
        </mc:AlternateContent>
      </w:r>
      <w:bookmarkEnd w:id="20"/>
    </w:p>
    <w:p w14:paraId="5D0A71B8">
      <w:pPr>
        <w:pStyle w:val="27"/>
        <w:spacing w:before="0" w:beforeLines="0" w:afterLines="0" w:line="300" w:lineRule="auto"/>
        <w:jc w:val="center"/>
        <w:rPr>
          <w:rFonts w:hint="eastAsia" w:ascii="黑体" w:hAnsi="黑体" w:eastAsia="黑体" w:cs="Times New Roman"/>
          <w:b w:val="0"/>
          <w:color w:val="auto"/>
        </w:rPr>
      </w:pPr>
      <w:r>
        <w:rPr>
          <w:rFonts w:ascii="黑体" w:hAnsi="黑体" w:eastAsia="黑体" w:cs="Times New Roman"/>
          <w:color w:val="auto"/>
        </w:rPr>
        <w:t>目次</w:t>
      </w:r>
    </w:p>
    <w:p w14:paraId="3C631CE0">
      <w:pPr>
        <w:pStyle w:val="11"/>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TOC \o "1-2" \h \z \u </w:instrText>
      </w:r>
      <w:r>
        <w:rPr>
          <w:rFonts w:hint="default" w:ascii="Times New Roman" w:hAnsi="Times New Roman" w:eastAsia="宋体" w:cs="Times New Roman"/>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"_Toc234402366"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前言</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I</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15798F0">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"_Toc234402367"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1</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89307AD">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"_Toc234402368"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2</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规范性引用文件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_Toc234402368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B9A658C">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"_Toc234402369"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3</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术语和定义</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_Toc234402369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D365C57">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4</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基本规定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_Toc234402370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9813D15">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5</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运行调度</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_Toc234402371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E1159C5">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"_Toc234402372"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安全调控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_Toc234402372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AADC03F">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"_Toc234402373"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6.1</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一般规定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_Toc234402373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6B4F718">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"_Toc234402374"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6.2</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压力调控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_Toc234402374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7783520">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"_Toc234402375"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6.3</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流量调控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_Toc234402375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99AEB8F">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"_Toc234402376"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6.4</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淤积防控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_Toc234402376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74BAC1B">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6.5</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结构位移调控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_Toc234402377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D167BE0">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安全监测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29B01C9">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"_Toc234402379"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7.1</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一般规定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_Toc234402379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FA06BD1">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7.2</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压力监测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_Toc234402380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854E4B3">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7.3</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流量监测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_Toc234402381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BD69493">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"_Toc234402382"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7.4</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淤积监测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_Toc234402382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20E9450">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"_Toc234402383"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7.5</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结构位移监测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_Toc234402383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45C6A6C">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"_Toc234402384"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7.6</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调控设备运行监测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_Toc234402384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86B9543">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"_Toc234402385"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8</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安全评估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_Toc234402385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24A17FC">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"_Toc234402386"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8.1</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一般规定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_Toc234402386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F870711">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8.2</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评估内容</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_Toc234402387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A272649">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8.3</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评估方法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AF4BC53">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"_Toc234402389"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8.4</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预警响应</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_Toc234402389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9E99518">
      <w:pPr>
        <w:pStyle w:val="11"/>
        <w:tabs>
          <w:tab w:val="left" w:pos="44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应急处理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_Toc234402390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1098480">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9.1</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一般规定</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_Toc234402391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52CE09D">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"_Toc234402392"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9.2</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压力与流量事故应急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_Toc234402392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5B1D722">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"_Toc234402393"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9.3</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淤积事故应急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_Toc234402393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296E81B">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"_Toc234402394"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9.4</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结构位移与爆管事故应急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_Toc234402394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253027D">
      <w:pPr>
        <w:pStyle w:val="12"/>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"_Toc234402395"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9.5</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应急保障与善后</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_Toc234402395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5935579">
      <w:pPr>
        <w:pStyle w:val="11"/>
        <w:tabs>
          <w:tab w:val="left" w:pos="660"/>
        </w:tabs>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"_Toc234402396"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rPr>
        <w:t>10</w:t>
      </w:r>
      <w:r>
        <w:rPr>
          <w:rFonts w:hint="default" w:ascii="Times New Roman" w:hAnsi="Times New Roman" w:eastAsia="宋体" w:cs="Times New Roman"/>
          <w:sz w:val="22"/>
          <w:szCs w:val="24"/>
          <w14:ligatures w14:val="standardContextual"/>
        </w:rPr>
        <w:tab/>
      </w:r>
      <w:r>
        <w:rPr>
          <w:rStyle w:val="20"/>
          <w:rFonts w:hint="default" w:ascii="Times New Roman" w:hAnsi="Times New Roman" w:eastAsia="宋体" w:cs="Times New Roman"/>
        </w:rPr>
        <w:t>信息管理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042B131">
      <w:pPr>
        <w:pStyle w:val="11"/>
        <w:rPr>
          <w:rFonts w:hint="default" w:ascii="Times New Roman" w:hAnsi="Times New Roman" w:eastAsia="宋体" w:cs="Times New Roman"/>
          <w:sz w:val="22"/>
          <w:szCs w:val="24"/>
          <w14:ligatures w14:val="standardContextual"/>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"_Toc234402397"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kern w:val="0"/>
        </w:rPr>
        <w:t>附录A（规范性）风险评估定色标准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_Toc234402397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5AD48C6">
      <w:pPr>
        <w:spacing w:line="300" w:lineRule="auto"/>
        <w:ind w:firstLine="0" w:firstLineChars="0"/>
        <w:rPr>
          <w:rFonts w:eastAsia="宋体" w:cs="Times New Roman"/>
        </w:rPr>
      </w:pPr>
      <w:r>
        <w:rPr>
          <w:rFonts w:hint="default" w:ascii="Times New Roman" w:hAnsi="Times New Roman" w:eastAsia="宋体" w:cs="Times New Roman"/>
        </w:rPr>
        <w:fldChar w:fldCharType="end"/>
      </w:r>
    </w:p>
    <w:p w14:paraId="13CDCCCB">
      <w:pPr>
        <w:spacing w:line="300" w:lineRule="auto"/>
        <w:ind w:firstLine="640"/>
        <w:rPr>
          <w:rFonts w:eastAsia="宋体" w:cs="Times New Roman"/>
          <w:sz w:val="32"/>
          <w:szCs w:val="32"/>
        </w:rPr>
        <w:sectPr>
          <w:headerReference r:id="rId11" w:type="default"/>
          <w:footerReference r:id="rId12" w:type="default"/>
          <w:footerReference r:id="rId13" w:type="even"/>
          <w:pgSz w:w="11906" w:h="16838"/>
          <w:pgMar w:top="1440" w:right="1800" w:bottom="1440" w:left="1800" w:header="851" w:footer="992" w:gutter="0"/>
          <w:cols w:space="425" w:num="1"/>
          <w:docGrid w:type="lines" w:linePitch="312" w:charSpace="0"/>
        </w:sectPr>
      </w:pPr>
    </w:p>
    <w:p w14:paraId="59363AC5">
      <w:pPr>
        <w:spacing w:line="300" w:lineRule="auto"/>
        <w:ind w:firstLine="0" w:firstLineChars="0"/>
        <w:jc w:val="center"/>
        <w:outlineLvl w:val="0"/>
        <w:rPr>
          <w:rFonts w:hint="eastAsia" w:ascii="黑体" w:hAnsi="黑体" w:eastAsia="黑体" w:cs="Times New Roman"/>
          <w:sz w:val="32"/>
          <w:szCs w:val="32"/>
        </w:rPr>
      </w:pPr>
      <w:bookmarkStart w:id="22" w:name="_Toc234402366"/>
      <w:r>
        <w:rPr>
          <w:rFonts w:ascii="黑体" w:hAnsi="黑体" w:eastAsia="黑体" w:cs="Times New Roman"/>
          <w:sz w:val="32"/>
          <w:szCs w:val="32"/>
        </w:rPr>
        <w:t>前言</w:t>
      </w:r>
      <w:bookmarkEnd w:id="22"/>
    </w:p>
    <w:p w14:paraId="10798C28">
      <w:pPr>
        <w:spacing w:line="300" w:lineRule="auto"/>
        <w:ind w:firstLine="420"/>
        <w:rPr>
          <w:rFonts w:eastAsia="宋体" w:cs="Times New Roman"/>
          <w:szCs w:val="21"/>
        </w:rPr>
      </w:pPr>
      <w:r>
        <w:rPr>
          <w:rFonts w:eastAsia="宋体" w:cs="Times New Roman"/>
          <w:szCs w:val="21"/>
        </w:rPr>
        <w:t>本文件按照</w:t>
      </w:r>
      <w:bookmarkStart w:id="23" w:name="OLE_LINK23"/>
      <w:r>
        <w:rPr>
          <w:rFonts w:eastAsia="宋体" w:cs="Times New Roman"/>
          <w:szCs w:val="21"/>
        </w:rPr>
        <w:t>GB/T1.1-2020</w:t>
      </w:r>
      <w:bookmarkEnd w:id="23"/>
      <w:r>
        <w:rPr>
          <w:rFonts w:eastAsia="宋体" w:cs="Times New Roman"/>
          <w:szCs w:val="21"/>
        </w:rPr>
        <w:t>《标准化工作导则 第1部分：标准化文件的结构和起草规则》的规定起草。</w:t>
      </w:r>
    </w:p>
    <w:p w14:paraId="2202A649">
      <w:pPr>
        <w:spacing w:line="300" w:lineRule="auto"/>
        <w:ind w:firstLine="420"/>
        <w:rPr>
          <w:rFonts w:eastAsia="宋体" w:cs="Times New Roman"/>
          <w:szCs w:val="21"/>
        </w:rPr>
      </w:pPr>
      <w:r>
        <w:rPr>
          <w:rFonts w:eastAsia="宋体" w:cs="Times New Roman"/>
          <w:szCs w:val="21"/>
        </w:rPr>
        <w:t>请注意本标准的某些内容可能涉及专利。本文件的发布机构不承担识别专利的责任。</w:t>
      </w:r>
    </w:p>
    <w:p w14:paraId="5AB20A7F">
      <w:pPr>
        <w:pStyle w:val="56"/>
        <w:spacing w:line="300" w:lineRule="auto"/>
        <w:rPr>
          <w:rFonts w:ascii="Times New Roman"/>
          <w:szCs w:val="21"/>
        </w:rPr>
      </w:pPr>
      <w:r>
        <w:rPr>
          <w:rFonts w:ascii="Times New Roman"/>
        </w:rPr>
        <w:t>本文件由中国农业节水和农村供水技术协会提出并</w:t>
      </w:r>
      <w:r>
        <w:rPr>
          <w:rFonts w:ascii="Times New Roman"/>
          <w:szCs w:val="21"/>
        </w:rPr>
        <w:t>归口。</w:t>
      </w:r>
    </w:p>
    <w:p w14:paraId="7B498B04">
      <w:pPr>
        <w:spacing w:line="300" w:lineRule="auto"/>
        <w:ind w:firstLine="420"/>
        <w:rPr>
          <w:rFonts w:eastAsia="宋体" w:cs="Times New Roman"/>
          <w:szCs w:val="21"/>
        </w:rPr>
      </w:pPr>
      <w:r>
        <w:rPr>
          <w:rFonts w:eastAsia="宋体" w:cs="Times New Roman"/>
          <w:szCs w:val="21"/>
        </w:rPr>
        <w:t>本文件起草单位：中国水利水电科学研究院</w:t>
      </w:r>
      <w:bookmarkStart w:id="24" w:name="OLE_LINK15"/>
      <w:r>
        <w:rPr>
          <w:rFonts w:eastAsia="宋体" w:cs="Times New Roman"/>
          <w:szCs w:val="21"/>
        </w:rPr>
        <w:t>、</w:t>
      </w:r>
      <w:bookmarkEnd w:id="24"/>
      <w:r>
        <w:rPr>
          <w:rFonts w:eastAsia="宋体" w:cs="Times New Roman"/>
        </w:rPr>
        <w:fldChar w:fldCharType="begin"/>
      </w:r>
      <w:r>
        <w:rPr>
          <w:rFonts w:eastAsia="宋体" w:cs="Times New Roman"/>
        </w:rPr>
        <w:instrText xml:space="preserve">HYPERLINK "https://www.so.com/link?m=wnFvRbikHjs6w4BCy95%2BI%2FiP8ce%2B1YvolzqxpHBFWuTCxWpCAuIF610rLF7M8g%2FF4%2FqDHpl5x0Zbt8YEwga8d4kjanj%2FNHPU86vrmG2EyNRHJO350C4rZP8zjo%2FfUz668VERpOO%2BbAy1O5OIbo4NWUx5epdGjtNmDjUtWCdPmfNE%3D" \t "_blank"</w:instrText>
      </w:r>
      <w:r>
        <w:rPr>
          <w:rFonts w:eastAsia="宋体" w:cs="Times New Roman"/>
        </w:rPr>
        <w:fldChar w:fldCharType="separate"/>
      </w:r>
      <w:r>
        <w:rPr>
          <w:rFonts w:eastAsia="宋体" w:cs="Times New Roman"/>
          <w:szCs w:val="21"/>
        </w:rPr>
        <w:t>中国灌溉排水发展中心</w:t>
      </w:r>
      <w:r>
        <w:rPr>
          <w:rFonts w:eastAsia="宋体" w:cs="Times New Roman"/>
        </w:rPr>
        <w:fldChar w:fldCharType="end"/>
      </w:r>
      <w:r>
        <w:rPr>
          <w:rFonts w:eastAsia="宋体" w:cs="Times New Roman"/>
          <w:szCs w:val="21"/>
        </w:rPr>
        <w:t>、新疆天业节水灌溉股份有限公司、北京中水科海利工程技术有限公司、石河子大学、</w:t>
      </w:r>
      <w:bookmarkStart w:id="25" w:name="OLE_LINK3"/>
      <w:r>
        <w:rPr>
          <w:rFonts w:eastAsia="宋体" w:cs="Times New Roman"/>
          <w:szCs w:val="21"/>
        </w:rPr>
        <w:t>新疆兵团勘测设计院集团股份有限公司、新疆水利水电科学研究院、新疆生产建设兵团第十四师水利工程管理服务中心</w:t>
      </w:r>
      <w:bookmarkEnd w:id="25"/>
      <w:r>
        <w:rPr>
          <w:rFonts w:eastAsia="宋体" w:cs="Times New Roman"/>
          <w:szCs w:val="21"/>
        </w:rPr>
        <w:t>、新疆农业大学。</w:t>
      </w:r>
    </w:p>
    <w:p w14:paraId="4F671356">
      <w:pPr>
        <w:spacing w:line="300" w:lineRule="auto"/>
        <w:ind w:firstLine="420"/>
        <w:rPr>
          <w:rFonts w:eastAsia="宋体" w:cs="Times New Roman"/>
          <w:szCs w:val="21"/>
        </w:rPr>
      </w:pPr>
      <w:r>
        <w:rPr>
          <w:rFonts w:eastAsia="宋体" w:cs="Times New Roman"/>
          <w:szCs w:val="21"/>
        </w:rPr>
        <w:t>本文件主要起草人：吴文勇、王珍、胡雅琪、杨险锋、顾涛、曾利、李子明、栗岩峰、窦铁生、龚时宏、马英杰、曹彪、刘彦、何新林、李河、林萍、陈恢彪、游磊、翟英剑。</w:t>
      </w:r>
    </w:p>
    <w:p w14:paraId="405D9FE3">
      <w:pPr>
        <w:spacing w:line="300" w:lineRule="auto"/>
        <w:ind w:firstLine="420"/>
        <w:rPr>
          <w:rFonts w:eastAsia="宋体" w:cs="Times New Roman"/>
          <w:szCs w:val="21"/>
        </w:rPr>
      </w:pPr>
      <w:r>
        <w:rPr>
          <w:rFonts w:eastAsia="宋体" w:cs="Times New Roman"/>
          <w:szCs w:val="21"/>
        </w:rPr>
        <w:t>本文件为首次发布。</w:t>
      </w:r>
    </w:p>
    <w:p w14:paraId="62CB928B">
      <w:pPr>
        <w:spacing w:line="300" w:lineRule="auto"/>
        <w:ind w:firstLine="960"/>
        <w:rPr>
          <w:rFonts w:eastAsia="宋体" w:cs="Times New Roman"/>
          <w:sz w:val="48"/>
          <w:szCs w:val="48"/>
        </w:rPr>
        <w:sectPr>
          <w:headerReference r:id="rId14" w:type="default"/>
          <w:footerReference r:id="rId15" w:type="even"/>
          <w:pgSz w:w="11906" w:h="16838"/>
          <w:pgMar w:top="1440" w:right="1800" w:bottom="1440" w:left="1800" w:header="851" w:footer="992" w:gutter="0"/>
          <w:pgNumType w:fmt="upperRoman" w:start="1"/>
          <w:cols w:space="425" w:num="1"/>
          <w:docGrid w:type="lines" w:linePitch="312" w:charSpace="0"/>
        </w:sectPr>
      </w:pPr>
    </w:p>
    <w:p w14:paraId="36C1B87C">
      <w:pPr>
        <w:spacing w:line="300" w:lineRule="auto"/>
        <w:ind w:firstLine="0" w:firstLineChars="0"/>
        <w:jc w:val="center"/>
        <w:rPr>
          <w:rFonts w:hint="eastAsia" w:ascii="黑体" w:hAnsi="黑体" w:eastAsia="黑体" w:cs="Times New Roman"/>
          <w:sz w:val="32"/>
          <w:szCs w:val="32"/>
        </w:rPr>
      </w:pPr>
      <w:bookmarkStart w:id="26" w:name="_Toc32999079"/>
      <w:r>
        <w:rPr>
          <w:rFonts w:ascii="黑体" w:hAnsi="黑体" w:eastAsia="黑体" w:cs="Times New Roman"/>
          <w:sz w:val="32"/>
          <w:szCs w:val="32"/>
        </w:rPr>
        <w:t>大型灌溉管网工程安全运行管理技术规程</w:t>
      </w:r>
    </w:p>
    <w:p w14:paraId="40CF4CA8">
      <w:pPr>
        <w:pStyle w:val="2"/>
        <w:numPr>
          <w:ilvl w:val="0"/>
          <w:numId w:val="2"/>
        </w:numPr>
        <w:spacing w:before="156" w:beforeLines="50" w:after="156" w:afterLines="50" w:line="300" w:lineRule="auto"/>
        <w:ind w:left="442" w:hanging="442"/>
        <w:jc w:val="both"/>
        <w:rPr>
          <w:rFonts w:eastAsia="宋体" w:cs="Times New Roman"/>
          <w:b w:val="0"/>
          <w:bCs w:val="0"/>
          <w:kern w:val="2"/>
          <w:sz w:val="21"/>
          <w:szCs w:val="22"/>
        </w:rPr>
      </w:pPr>
      <w:bookmarkStart w:id="27" w:name="_Toc234402367"/>
      <w:r>
        <w:rPr>
          <w:rFonts w:ascii="黑体" w:hAnsi="黑体" w:cs="Times New Roman"/>
        </w:rPr>
        <w:t>范围</w:t>
      </w:r>
      <w:bookmarkEnd w:id="27"/>
      <w:r>
        <w:rPr>
          <w:rFonts w:eastAsia="宋体" w:cs="Times New Roman"/>
          <w:b w:val="0"/>
          <w:bCs w:val="0"/>
          <w:kern w:val="2"/>
          <w:sz w:val="21"/>
          <w:szCs w:val="22"/>
        </w:rPr>
        <w:t xml:space="preserve"> </w:t>
      </w:r>
    </w:p>
    <w:p w14:paraId="6BBC9A2D">
      <w:pPr>
        <w:spacing w:line="300" w:lineRule="auto"/>
        <w:ind w:firstLine="420"/>
        <w:rPr>
          <w:rFonts w:eastAsia="宋体" w:cs="Times New Roman"/>
        </w:rPr>
      </w:pPr>
      <w:r>
        <w:rPr>
          <w:rFonts w:eastAsia="宋体" w:cs="Times New Roman"/>
        </w:rPr>
        <w:t>本文件规定了大型灌溉管网工程安全运行管理的技术要求，包括</w:t>
      </w:r>
      <w:r>
        <w:rPr>
          <w:rFonts w:hint="eastAsia" w:eastAsia="宋体" w:cs="Times New Roman"/>
        </w:rPr>
        <w:t>运行</w:t>
      </w:r>
      <w:r>
        <w:rPr>
          <w:rFonts w:eastAsia="宋体" w:cs="Times New Roman"/>
        </w:rPr>
        <w:t>调度、</w:t>
      </w:r>
      <w:r>
        <w:rPr>
          <w:rFonts w:hint="eastAsia" w:eastAsia="宋体" w:cs="Times New Roman"/>
        </w:rPr>
        <w:t>安全</w:t>
      </w:r>
      <w:r>
        <w:rPr>
          <w:rFonts w:eastAsia="宋体" w:cs="Times New Roman"/>
        </w:rPr>
        <w:t>调控、</w:t>
      </w:r>
      <w:r>
        <w:rPr>
          <w:rFonts w:hint="eastAsia" w:eastAsia="宋体" w:cs="Times New Roman"/>
        </w:rPr>
        <w:t>安全</w:t>
      </w:r>
      <w:r>
        <w:rPr>
          <w:rFonts w:eastAsia="宋体" w:cs="Times New Roman"/>
        </w:rPr>
        <w:t>监测、</w:t>
      </w:r>
      <w:r>
        <w:rPr>
          <w:rFonts w:hint="eastAsia" w:eastAsia="宋体" w:cs="Times New Roman"/>
        </w:rPr>
        <w:t>安全</w:t>
      </w:r>
      <w:r>
        <w:rPr>
          <w:rFonts w:eastAsia="宋体" w:cs="Times New Roman"/>
        </w:rPr>
        <w:t>评估、应急处理及</w:t>
      </w:r>
      <w:r>
        <w:rPr>
          <w:rFonts w:hint="eastAsia" w:eastAsia="宋体" w:cs="Times New Roman"/>
        </w:rPr>
        <w:t>信息</w:t>
      </w:r>
      <w:r>
        <w:rPr>
          <w:rFonts w:eastAsia="宋体" w:cs="Times New Roman"/>
        </w:rPr>
        <w:t>管理等内容。</w:t>
      </w:r>
    </w:p>
    <w:p w14:paraId="3D73A5B0">
      <w:pPr>
        <w:spacing w:line="300" w:lineRule="auto"/>
        <w:ind w:firstLine="420"/>
        <w:rPr>
          <w:rFonts w:eastAsia="宋体" w:cs="Times New Roman"/>
        </w:rPr>
      </w:pPr>
      <w:r>
        <w:rPr>
          <w:rFonts w:eastAsia="宋体" w:cs="Times New Roman"/>
        </w:rPr>
        <w:t>本文件适用于设计流量≥0.5 m³/s的大型灌溉管网工程安全运行管理，其他规模的工程可参照执行。</w:t>
      </w:r>
    </w:p>
    <w:p w14:paraId="18A815CD">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28" w:name="_Toc234402368"/>
      <w:r>
        <w:rPr>
          <w:rFonts w:ascii="黑体" w:hAnsi="黑体" w:cs="Times New Roman"/>
        </w:rPr>
        <w:t>规范性引用文件</w:t>
      </w:r>
      <w:bookmarkEnd w:id="28"/>
    </w:p>
    <w:p w14:paraId="03590A2E">
      <w:pPr>
        <w:spacing w:line="300" w:lineRule="auto"/>
        <w:ind w:firstLine="420"/>
        <w:rPr>
          <w:rFonts w:eastAsia="宋体" w:cs="Times New Roman"/>
        </w:rPr>
      </w:pPr>
      <w:r>
        <w:rPr>
          <w:rFonts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9E83CBD">
      <w:pPr>
        <w:spacing w:line="300" w:lineRule="auto"/>
        <w:ind w:firstLine="420"/>
        <w:rPr>
          <w:rFonts w:eastAsia="宋体" w:cs="Times New Roman"/>
        </w:rPr>
      </w:pPr>
      <w:bookmarkStart w:id="29" w:name="_Hlk199107394"/>
      <w:bookmarkStart w:id="30" w:name="OLE_LINK1"/>
      <w:r>
        <w:rPr>
          <w:rFonts w:eastAsia="宋体" w:cs="Times New Roman"/>
        </w:rPr>
        <w:t>GB 50288</w:t>
      </w:r>
      <w:bookmarkEnd w:id="29"/>
      <w:r>
        <w:rPr>
          <w:rFonts w:eastAsia="宋体" w:cs="Times New Roman"/>
        </w:rPr>
        <w:t>灌溉与排水工程设计标准</w:t>
      </w:r>
    </w:p>
    <w:p w14:paraId="2D6ED0B7">
      <w:pPr>
        <w:widowControl/>
        <w:spacing w:line="300" w:lineRule="auto"/>
        <w:ind w:firstLine="420"/>
        <w:rPr>
          <w:rFonts w:eastAsia="宋体" w:cs="Times New Roman"/>
        </w:rPr>
      </w:pPr>
      <w:r>
        <w:rPr>
          <w:rFonts w:eastAsia="宋体" w:cs="Times New Roman"/>
        </w:rPr>
        <w:t>GB 5084 农田灌溉水质标准</w:t>
      </w:r>
    </w:p>
    <w:p w14:paraId="0F49BCD9">
      <w:pPr>
        <w:widowControl/>
        <w:spacing w:line="300" w:lineRule="auto"/>
        <w:ind w:firstLine="420"/>
        <w:rPr>
          <w:rFonts w:eastAsia="宋体" w:cs="Times New Roman"/>
        </w:rPr>
      </w:pPr>
      <w:r>
        <w:rPr>
          <w:rFonts w:eastAsia="宋体" w:cs="Times New Roman"/>
        </w:rPr>
        <w:t>GB/T 18894 电子文件归档与管理规范</w:t>
      </w:r>
    </w:p>
    <w:p w14:paraId="1ADE856F">
      <w:pPr>
        <w:spacing w:line="300" w:lineRule="auto"/>
        <w:ind w:firstLine="420"/>
        <w:rPr>
          <w:rFonts w:eastAsia="宋体" w:cs="Times New Roman"/>
        </w:rPr>
      </w:pPr>
      <w:r>
        <w:rPr>
          <w:rFonts w:eastAsia="宋体" w:cs="Times New Roman"/>
        </w:rPr>
        <w:t>GB/T 20203管道输水灌溉工程技术规范</w:t>
      </w:r>
    </w:p>
    <w:p w14:paraId="65B1BA6E">
      <w:pPr>
        <w:widowControl/>
        <w:spacing w:line="300" w:lineRule="auto"/>
        <w:ind w:firstLine="420"/>
        <w:rPr>
          <w:rFonts w:eastAsia="宋体" w:cs="Times New Roman"/>
        </w:rPr>
      </w:pPr>
      <w:r>
        <w:rPr>
          <w:rFonts w:eastAsia="宋体" w:cs="Times New Roman"/>
        </w:rPr>
        <w:t>GB/T 28714 取水计量技术导则</w:t>
      </w:r>
    </w:p>
    <w:p w14:paraId="6E49F642">
      <w:pPr>
        <w:spacing w:line="300" w:lineRule="auto"/>
        <w:ind w:firstLine="420"/>
        <w:rPr>
          <w:rFonts w:eastAsia="宋体" w:cs="Times New Roman"/>
        </w:rPr>
      </w:pPr>
      <w:bookmarkStart w:id="31" w:name="_Hlk199107404"/>
      <w:bookmarkStart w:id="32" w:name="OLE_LINK10"/>
      <w:r>
        <w:rPr>
          <w:rFonts w:eastAsia="宋体" w:cs="Times New Roman"/>
        </w:rPr>
        <w:t>GB/T 50328</w:t>
      </w:r>
      <w:bookmarkEnd w:id="31"/>
      <w:r>
        <w:rPr>
          <w:rFonts w:eastAsia="宋体" w:cs="Times New Roman"/>
        </w:rPr>
        <w:t>建设工程文件归档管理规范</w:t>
      </w:r>
    </w:p>
    <w:bookmarkEnd w:id="32"/>
    <w:p w14:paraId="26793C30">
      <w:pPr>
        <w:spacing w:line="300" w:lineRule="auto"/>
        <w:ind w:firstLine="420"/>
        <w:rPr>
          <w:rFonts w:eastAsia="宋体" w:cs="Times New Roman"/>
        </w:rPr>
      </w:pPr>
      <w:r>
        <w:rPr>
          <w:rFonts w:eastAsia="宋体" w:cs="Times New Roman"/>
        </w:rPr>
        <w:t>SL 725</w:t>
      </w:r>
      <w:bookmarkStart w:id="33" w:name="OLE_LINK4"/>
      <w:r>
        <w:rPr>
          <w:rFonts w:eastAsia="宋体" w:cs="Times New Roman"/>
        </w:rPr>
        <w:t>水利水电工程安全监测技术规范</w:t>
      </w:r>
      <w:bookmarkEnd w:id="33"/>
    </w:p>
    <w:p w14:paraId="1406BACF">
      <w:pPr>
        <w:widowControl/>
        <w:spacing w:line="300" w:lineRule="auto"/>
        <w:ind w:firstLine="420"/>
        <w:rPr>
          <w:rFonts w:eastAsia="宋体" w:cs="Times New Roman"/>
        </w:rPr>
      </w:pPr>
      <w:r>
        <w:rPr>
          <w:rFonts w:eastAsia="宋体" w:cs="Times New Roman"/>
        </w:rPr>
        <w:t>SL/T 246 灌溉与排水工程技术管理规程</w:t>
      </w:r>
    </w:p>
    <w:p w14:paraId="6139419B">
      <w:pPr>
        <w:widowControl/>
        <w:spacing w:line="300" w:lineRule="auto"/>
        <w:ind w:firstLine="420"/>
        <w:rPr>
          <w:rFonts w:eastAsia="宋体" w:cs="Times New Roman"/>
        </w:rPr>
      </w:pPr>
      <w:r>
        <w:rPr>
          <w:rFonts w:eastAsia="宋体" w:cs="Times New Roman"/>
        </w:rPr>
        <w:t>SL/T 316 泵站安全鉴定规程</w:t>
      </w:r>
    </w:p>
    <w:bookmarkEnd w:id="30"/>
    <w:p w14:paraId="6C96D02A">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34" w:name="_Toc234402369"/>
      <w:r>
        <w:rPr>
          <w:rFonts w:ascii="黑体" w:hAnsi="黑体" w:cs="Times New Roman"/>
        </w:rPr>
        <w:t>术语和定义</w:t>
      </w:r>
      <w:bookmarkEnd w:id="34"/>
    </w:p>
    <w:sdt>
      <w:sdtPr>
        <w:rPr>
          <w:rFonts w:ascii="Times New Roman"/>
        </w:rPr>
        <w:id w:val="-1909835108"/>
        <w:placeholder>
          <w:docPart w:val="2403EE4D133844E1960A12066769DA5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70BCDAEF">
          <w:pPr>
            <w:pStyle w:val="56"/>
            <w:spacing w:line="300" w:lineRule="auto"/>
            <w:rPr>
              <w:rFonts w:ascii="Times New Roman"/>
            </w:rPr>
          </w:pPr>
          <w:r>
            <w:rPr>
              <w:rFonts w:ascii="Times New Roman"/>
            </w:rPr>
            <w:t>下列术语和定义适用于本文件。</w:t>
          </w:r>
        </w:p>
      </w:sdtContent>
    </w:sdt>
    <w:p w14:paraId="1827F072">
      <w:pPr>
        <w:pStyle w:val="26"/>
        <w:numPr>
          <w:ilvl w:val="0"/>
          <w:numId w:val="3"/>
        </w:numPr>
        <w:spacing w:line="300" w:lineRule="auto"/>
        <w:ind w:firstLineChars="0"/>
        <w:rPr>
          <w:rFonts w:eastAsia="宋体" w:cs="Times New Roman"/>
          <w:bCs/>
          <w:szCs w:val="21"/>
        </w:rPr>
      </w:pPr>
    </w:p>
    <w:p w14:paraId="4F40155D">
      <w:pPr>
        <w:spacing w:line="300" w:lineRule="auto"/>
        <w:ind w:firstLine="420"/>
        <w:rPr>
          <w:rFonts w:eastAsia="黑体" w:cs="Times New Roman"/>
          <w:bCs/>
          <w:szCs w:val="21"/>
        </w:rPr>
      </w:pPr>
      <w:bookmarkStart w:id="35" w:name="_Hlk199107855"/>
      <w:r>
        <w:rPr>
          <w:rFonts w:eastAsia="黑体" w:cs="Times New Roman"/>
          <w:bCs/>
          <w:szCs w:val="21"/>
        </w:rPr>
        <w:t>大型灌溉管网工程</w:t>
      </w:r>
      <w:bookmarkEnd w:id="35"/>
      <w:r>
        <w:rPr>
          <w:rFonts w:eastAsia="黑体" w:cs="Times New Roman"/>
          <w:bCs/>
          <w:szCs w:val="21"/>
        </w:rPr>
        <w:t>Large scale irrigation pipeline network project</w:t>
      </w:r>
    </w:p>
    <w:p w14:paraId="6880635B">
      <w:pPr>
        <w:spacing w:line="300" w:lineRule="auto"/>
        <w:ind w:firstLine="420"/>
        <w:rPr>
          <w:rFonts w:eastAsia="宋体" w:cs="Times New Roman"/>
        </w:rPr>
      </w:pPr>
      <w:r>
        <w:rPr>
          <w:rFonts w:eastAsia="宋体" w:cs="Times New Roman"/>
        </w:rPr>
        <w:t>由输水干管、支管、配水设施及附属建筑物组成的灌溉管网工程，设计流量≥0.5 m³/s。</w:t>
      </w:r>
    </w:p>
    <w:p w14:paraId="20707A58">
      <w:pPr>
        <w:pStyle w:val="26"/>
        <w:numPr>
          <w:ilvl w:val="0"/>
          <w:numId w:val="3"/>
        </w:numPr>
        <w:spacing w:line="300" w:lineRule="auto"/>
        <w:ind w:firstLineChars="0"/>
        <w:rPr>
          <w:rFonts w:eastAsia="宋体" w:cs="Times New Roman"/>
          <w:bCs/>
          <w:szCs w:val="21"/>
        </w:rPr>
      </w:pPr>
      <w:r>
        <w:rPr>
          <w:rFonts w:eastAsia="宋体" w:cs="Times New Roman"/>
          <w:bCs/>
          <w:szCs w:val="21"/>
        </w:rPr>
        <w:t xml:space="preserve"> </w:t>
      </w:r>
    </w:p>
    <w:p w14:paraId="1612451B">
      <w:pPr>
        <w:spacing w:line="300" w:lineRule="auto"/>
        <w:ind w:firstLine="420"/>
        <w:rPr>
          <w:rFonts w:eastAsia="黑体" w:cs="Times New Roman"/>
          <w:bCs/>
          <w:szCs w:val="21"/>
        </w:rPr>
      </w:pPr>
      <w:bookmarkStart w:id="36" w:name="_Hlk199107862"/>
      <w:r>
        <w:rPr>
          <w:rFonts w:hint="eastAsia" w:eastAsia="黑体" w:cs="Times New Roman"/>
          <w:bCs/>
          <w:szCs w:val="21"/>
        </w:rPr>
        <w:t>运行</w:t>
      </w:r>
      <w:r>
        <w:rPr>
          <w:rFonts w:eastAsia="黑体" w:cs="Times New Roman"/>
          <w:bCs/>
          <w:szCs w:val="21"/>
        </w:rPr>
        <w:t>调度</w:t>
      </w:r>
      <w:bookmarkEnd w:id="36"/>
      <w:r>
        <w:rPr>
          <w:rFonts w:eastAsia="黑体" w:cs="Times New Roman"/>
          <w:bCs/>
          <w:szCs w:val="21"/>
        </w:rPr>
        <w:t>Operation and dispatching</w:t>
      </w:r>
    </w:p>
    <w:p w14:paraId="55F1ED0E">
      <w:pPr>
        <w:spacing w:line="300" w:lineRule="auto"/>
        <w:ind w:firstLine="420"/>
        <w:rPr>
          <w:rFonts w:eastAsia="宋体" w:cs="Times New Roman"/>
        </w:rPr>
      </w:pPr>
      <w:r>
        <w:rPr>
          <w:rFonts w:eastAsia="宋体" w:cs="Times New Roman"/>
        </w:rPr>
        <w:t>在确保管网结构安全和运行参数稳定的前提下，通过分区、分时段调配水量与压力的管理行为。</w:t>
      </w:r>
    </w:p>
    <w:p w14:paraId="3D202088">
      <w:pPr>
        <w:pStyle w:val="26"/>
        <w:numPr>
          <w:ilvl w:val="0"/>
          <w:numId w:val="3"/>
        </w:numPr>
        <w:spacing w:line="300" w:lineRule="auto"/>
        <w:ind w:firstLineChars="0"/>
        <w:rPr>
          <w:rFonts w:eastAsia="宋体" w:cs="Times New Roman"/>
          <w:bCs/>
          <w:szCs w:val="21"/>
        </w:rPr>
      </w:pPr>
      <w:r>
        <w:rPr>
          <w:rFonts w:eastAsia="宋体" w:cs="Times New Roman"/>
          <w:bCs/>
          <w:szCs w:val="21"/>
        </w:rPr>
        <w:t xml:space="preserve"> </w:t>
      </w:r>
    </w:p>
    <w:p w14:paraId="148CD135">
      <w:pPr>
        <w:spacing w:line="300" w:lineRule="auto"/>
        <w:ind w:firstLine="420"/>
        <w:rPr>
          <w:rFonts w:eastAsia="黑体" w:cs="Times New Roman"/>
          <w:bCs/>
          <w:szCs w:val="21"/>
        </w:rPr>
      </w:pPr>
      <w:bookmarkStart w:id="37" w:name="_Hlk199107865"/>
      <w:r>
        <w:rPr>
          <w:rFonts w:eastAsia="黑体" w:cs="Times New Roman"/>
          <w:bCs/>
          <w:szCs w:val="21"/>
        </w:rPr>
        <w:t>安全调控</w:t>
      </w:r>
      <w:bookmarkEnd w:id="37"/>
      <w:r>
        <w:rPr>
          <w:rFonts w:eastAsia="黑体" w:cs="Times New Roman"/>
          <w:bCs/>
          <w:szCs w:val="21"/>
        </w:rPr>
        <w:t>Safety regulation</w:t>
      </w:r>
    </w:p>
    <w:p w14:paraId="7942A2E3">
      <w:pPr>
        <w:spacing w:line="300" w:lineRule="auto"/>
        <w:ind w:firstLine="420"/>
        <w:rPr>
          <w:rFonts w:eastAsia="宋体" w:cs="Times New Roman"/>
        </w:rPr>
      </w:pPr>
      <w:r>
        <w:rPr>
          <w:rFonts w:eastAsia="宋体" w:cs="Times New Roman"/>
        </w:rPr>
        <w:t>通过阀门启闭、压力调节、流速控制等手段，维持管网水力平衡并预防淤积、爆管等风险的技术措施。</w:t>
      </w:r>
    </w:p>
    <w:p w14:paraId="0C6FC6FE">
      <w:pPr>
        <w:pStyle w:val="26"/>
        <w:widowControl/>
        <w:numPr>
          <w:ilvl w:val="0"/>
          <w:numId w:val="3"/>
        </w:numPr>
        <w:spacing w:line="300" w:lineRule="auto"/>
        <w:ind w:firstLineChars="0"/>
        <w:rPr>
          <w:rFonts w:eastAsia="宋体" w:cs="Times New Roman"/>
          <w:color w:val="0F1115"/>
          <w:sz w:val="24"/>
          <w:szCs w:val="24"/>
          <w:shd w:val="clear" w:color="auto" w:fill="FFFFFF"/>
        </w:rPr>
      </w:pPr>
    </w:p>
    <w:p w14:paraId="3731C0BC">
      <w:pPr>
        <w:spacing w:line="300" w:lineRule="auto"/>
        <w:ind w:firstLine="420"/>
        <w:rPr>
          <w:rFonts w:eastAsia="黑体" w:cs="Times New Roman"/>
          <w:bCs/>
          <w:szCs w:val="21"/>
        </w:rPr>
      </w:pPr>
      <w:r>
        <w:rPr>
          <w:rFonts w:eastAsia="黑体" w:cs="Times New Roman"/>
          <w:bCs/>
          <w:szCs w:val="21"/>
        </w:rPr>
        <w:t>过流能力恢复率 Flow capacity recovery rate</w:t>
      </w:r>
    </w:p>
    <w:p w14:paraId="0ABBCA8F">
      <w:pPr>
        <w:spacing w:line="300" w:lineRule="auto"/>
        <w:ind w:firstLine="420"/>
        <w:rPr>
          <w:rFonts w:eastAsia="宋体" w:cs="Times New Roman"/>
          <w:bCs/>
          <w:szCs w:val="21"/>
        </w:rPr>
      </w:pPr>
      <w:r>
        <w:rPr>
          <w:rFonts w:eastAsia="宋体" w:cs="Times New Roman"/>
          <w:bCs/>
          <w:szCs w:val="21"/>
        </w:rPr>
        <w:t>清淤作业后管道实际过流面积与设计过流面积的比值，以百分数表示，用于评价清淤效果。</w:t>
      </w:r>
    </w:p>
    <w:p w14:paraId="615696C1">
      <w:pPr>
        <w:pStyle w:val="26"/>
        <w:widowControl/>
        <w:numPr>
          <w:ilvl w:val="0"/>
          <w:numId w:val="3"/>
        </w:numPr>
        <w:spacing w:line="300" w:lineRule="auto"/>
        <w:ind w:firstLineChars="0"/>
        <w:rPr>
          <w:rFonts w:eastAsia="宋体" w:cs="Times New Roman"/>
          <w:color w:val="0F1115"/>
          <w:sz w:val="24"/>
          <w:szCs w:val="24"/>
          <w:shd w:val="clear" w:color="auto" w:fill="FFFFFF"/>
        </w:rPr>
      </w:pPr>
    </w:p>
    <w:p w14:paraId="51E25CE7">
      <w:pPr>
        <w:spacing w:line="300" w:lineRule="auto"/>
        <w:ind w:firstLine="420"/>
        <w:rPr>
          <w:rFonts w:eastAsia="黑体" w:cs="Times New Roman"/>
          <w:bCs/>
          <w:szCs w:val="21"/>
        </w:rPr>
      </w:pPr>
      <w:r>
        <w:rPr>
          <w:rFonts w:eastAsia="黑体" w:cs="Times New Roman"/>
          <w:bCs/>
          <w:szCs w:val="21"/>
        </w:rPr>
        <w:t>日常评估 Routine assessment</w:t>
      </w:r>
    </w:p>
    <w:p w14:paraId="7412EE3E">
      <w:pPr>
        <w:spacing w:line="300" w:lineRule="auto"/>
        <w:ind w:firstLine="420"/>
        <w:rPr>
          <w:rFonts w:eastAsia="宋体" w:cs="Times New Roman"/>
          <w:bCs/>
          <w:szCs w:val="21"/>
        </w:rPr>
      </w:pPr>
      <w:r>
        <w:rPr>
          <w:rFonts w:eastAsia="宋体" w:cs="Times New Roman"/>
          <w:bCs/>
          <w:szCs w:val="21"/>
        </w:rPr>
        <w:t>结合在线监测数据和巡检记录，按季度对管网运行状态进行常规性评价，识别运行参数异常趋势。</w:t>
      </w:r>
    </w:p>
    <w:p w14:paraId="154AC90C">
      <w:pPr>
        <w:pStyle w:val="26"/>
        <w:widowControl/>
        <w:numPr>
          <w:ilvl w:val="0"/>
          <w:numId w:val="3"/>
        </w:numPr>
        <w:spacing w:line="300" w:lineRule="auto"/>
        <w:ind w:firstLineChars="0"/>
        <w:rPr>
          <w:rFonts w:eastAsia="宋体" w:cs="Times New Roman"/>
          <w:bCs/>
          <w:szCs w:val="21"/>
        </w:rPr>
      </w:pPr>
    </w:p>
    <w:p w14:paraId="710F8309">
      <w:pPr>
        <w:spacing w:line="300" w:lineRule="auto"/>
        <w:ind w:firstLine="420"/>
        <w:rPr>
          <w:rFonts w:eastAsia="黑体" w:cs="Times New Roman"/>
          <w:bCs/>
          <w:szCs w:val="21"/>
        </w:rPr>
      </w:pPr>
      <w:r>
        <w:rPr>
          <w:rFonts w:eastAsia="黑体" w:cs="Times New Roman"/>
          <w:bCs/>
          <w:szCs w:val="21"/>
        </w:rPr>
        <w:t>定期评估 Periodic assessment</w:t>
      </w:r>
    </w:p>
    <w:p w14:paraId="7B22DA84">
      <w:pPr>
        <w:spacing w:line="300" w:lineRule="auto"/>
        <w:ind w:firstLine="420"/>
        <w:rPr>
          <w:rFonts w:eastAsia="宋体" w:cs="Times New Roman"/>
          <w:bCs/>
          <w:szCs w:val="21"/>
        </w:rPr>
      </w:pPr>
      <w:r>
        <w:rPr>
          <w:rFonts w:eastAsia="宋体" w:cs="Times New Roman"/>
          <w:bCs/>
          <w:szCs w:val="21"/>
        </w:rPr>
        <w:t>每年灌溉季结束后，对管道结构安全、泄漏风险和淤积风险进行全面检测与综合分析的评价活动。</w:t>
      </w:r>
    </w:p>
    <w:p w14:paraId="0325E9AD">
      <w:pPr>
        <w:pStyle w:val="26"/>
        <w:widowControl/>
        <w:numPr>
          <w:ilvl w:val="0"/>
          <w:numId w:val="3"/>
        </w:numPr>
        <w:spacing w:line="300" w:lineRule="auto"/>
        <w:ind w:firstLineChars="0"/>
        <w:rPr>
          <w:rFonts w:eastAsia="宋体" w:cs="Times New Roman"/>
          <w:b/>
          <w:bCs/>
          <w:color w:val="0F1115"/>
          <w:sz w:val="24"/>
          <w:szCs w:val="24"/>
          <w:shd w:val="clear" w:color="auto" w:fill="FFFFFF"/>
        </w:rPr>
      </w:pPr>
    </w:p>
    <w:p w14:paraId="60823EBA">
      <w:pPr>
        <w:spacing w:line="300" w:lineRule="auto"/>
        <w:ind w:firstLine="420"/>
        <w:rPr>
          <w:rFonts w:eastAsia="黑体" w:cs="Times New Roman"/>
          <w:bCs/>
          <w:szCs w:val="21"/>
        </w:rPr>
      </w:pPr>
      <w:r>
        <w:rPr>
          <w:rFonts w:eastAsia="黑体" w:cs="Times New Roman"/>
          <w:bCs/>
          <w:szCs w:val="21"/>
        </w:rPr>
        <w:t>专项评估 Special assessment</w:t>
      </w:r>
    </w:p>
    <w:p w14:paraId="7FAD5E34">
      <w:pPr>
        <w:spacing w:line="300" w:lineRule="auto"/>
        <w:ind w:firstLine="420"/>
        <w:rPr>
          <w:rFonts w:eastAsia="宋体" w:cs="Times New Roman"/>
          <w:bCs/>
          <w:szCs w:val="21"/>
        </w:rPr>
      </w:pPr>
      <w:r>
        <w:rPr>
          <w:rFonts w:eastAsia="宋体" w:cs="Times New Roman"/>
          <w:bCs/>
          <w:szCs w:val="21"/>
        </w:rPr>
        <w:t>在地震、超标洪水或重大爆管事故后15日内，针对特定区域或特定风险类别开展的专门性安全评价。</w:t>
      </w:r>
    </w:p>
    <w:p w14:paraId="3903F2AB">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38" w:name="_Toc234402370"/>
      <w:r>
        <w:rPr>
          <w:rFonts w:ascii="黑体" w:hAnsi="黑体" w:cs="Times New Roman"/>
        </w:rPr>
        <w:t>基本规定</w:t>
      </w:r>
      <w:bookmarkEnd w:id="38"/>
    </w:p>
    <w:p w14:paraId="678154AC">
      <w:pPr>
        <w:pStyle w:val="26"/>
        <w:numPr>
          <w:ilvl w:val="0"/>
          <w:numId w:val="4"/>
        </w:numPr>
        <w:spacing w:line="300" w:lineRule="auto"/>
        <w:ind w:left="0" w:firstLine="0" w:firstLineChars="0"/>
        <w:rPr>
          <w:rFonts w:eastAsia="宋体" w:cs="Times New Roman"/>
          <w:bCs/>
          <w:szCs w:val="21"/>
        </w:rPr>
      </w:pPr>
      <w:bookmarkStart w:id="39" w:name="_Hlk199108010"/>
      <w:r>
        <w:rPr>
          <w:rFonts w:eastAsia="宋体" w:cs="Times New Roman"/>
          <w:bCs/>
          <w:szCs w:val="21"/>
        </w:rPr>
        <w:t>大型灌溉管网工程的安全运行管理应统筹运行调度、系统安全与应急保障，实现设计、施工、运行、维护、更新过程的</w:t>
      </w:r>
      <w:r>
        <w:rPr>
          <w:rFonts w:hint="eastAsia" w:eastAsia="宋体" w:cs="Times New Roman"/>
          <w:bCs/>
          <w:szCs w:val="21"/>
        </w:rPr>
        <w:t>全生命周期</w:t>
      </w:r>
      <w:r>
        <w:rPr>
          <w:rFonts w:eastAsia="宋体" w:cs="Times New Roman"/>
          <w:bCs/>
          <w:szCs w:val="21"/>
        </w:rPr>
        <w:t>管理，除应满足本文件规定外，还应满足</w:t>
      </w:r>
      <w:bookmarkStart w:id="40" w:name="_Hlk199107735"/>
      <w:r>
        <w:rPr>
          <w:rFonts w:eastAsia="宋体" w:cs="Times New Roman"/>
          <w:bCs/>
          <w:szCs w:val="21"/>
        </w:rPr>
        <w:t>GB 50288</w:t>
      </w:r>
      <w:r>
        <w:rPr>
          <w:rFonts w:hint="eastAsia" w:eastAsia="宋体" w:cs="Times New Roman"/>
          <w:bCs/>
          <w:szCs w:val="21"/>
          <w:lang w:eastAsia="zh-CN"/>
        </w:rPr>
        <w:t>、</w:t>
      </w:r>
      <w:r>
        <w:rPr>
          <w:rFonts w:eastAsia="宋体" w:cs="Times New Roman"/>
          <w:bCs/>
          <w:szCs w:val="21"/>
        </w:rPr>
        <w:t>GB/T 20203</w:t>
      </w:r>
      <w:bookmarkEnd w:id="40"/>
      <w:r>
        <w:rPr>
          <w:rFonts w:eastAsia="宋体" w:cs="Times New Roman"/>
          <w:bCs/>
          <w:szCs w:val="21"/>
        </w:rPr>
        <w:t>和SL/T 246要求。</w:t>
      </w:r>
    </w:p>
    <w:bookmarkEnd w:id="39"/>
    <w:p w14:paraId="679A406B">
      <w:pPr>
        <w:pStyle w:val="26"/>
        <w:numPr>
          <w:ilvl w:val="0"/>
          <w:numId w:val="4"/>
        </w:numPr>
        <w:spacing w:line="300" w:lineRule="auto"/>
        <w:ind w:left="0" w:firstLine="0" w:firstLineChars="0"/>
        <w:rPr>
          <w:rFonts w:eastAsia="宋体" w:cs="Times New Roman"/>
          <w:bCs/>
          <w:szCs w:val="21"/>
        </w:rPr>
      </w:pPr>
      <w:bookmarkStart w:id="41" w:name="_Hlk199108254"/>
      <w:r>
        <w:rPr>
          <w:rFonts w:eastAsia="宋体" w:cs="Times New Roman"/>
          <w:bCs/>
          <w:szCs w:val="21"/>
        </w:rPr>
        <w:t>大型灌溉管网工程安全运行管理</w:t>
      </w:r>
      <w:bookmarkEnd w:id="41"/>
      <w:r>
        <w:rPr>
          <w:rFonts w:eastAsia="宋体" w:cs="Times New Roman"/>
          <w:bCs/>
          <w:szCs w:val="21"/>
        </w:rPr>
        <w:t>应具备下列基本资料：</w:t>
      </w:r>
    </w:p>
    <w:p w14:paraId="23A64554">
      <w:pPr>
        <w:pStyle w:val="26"/>
        <w:numPr>
          <w:ilvl w:val="1"/>
          <w:numId w:val="5"/>
        </w:numPr>
        <w:spacing w:line="300" w:lineRule="auto"/>
        <w:ind w:firstLineChars="0"/>
        <w:rPr>
          <w:rFonts w:eastAsia="宋体" w:cs="Times New Roman"/>
          <w:bCs/>
          <w:szCs w:val="21"/>
        </w:rPr>
      </w:pPr>
      <w:r>
        <w:rPr>
          <w:rFonts w:eastAsia="宋体" w:cs="Times New Roman"/>
          <w:bCs/>
          <w:szCs w:val="21"/>
        </w:rPr>
        <w:t>工程设计和竣工验收资料；</w:t>
      </w:r>
    </w:p>
    <w:p w14:paraId="3CBE760A">
      <w:pPr>
        <w:pStyle w:val="26"/>
        <w:numPr>
          <w:ilvl w:val="1"/>
          <w:numId w:val="5"/>
        </w:numPr>
        <w:spacing w:line="300" w:lineRule="auto"/>
        <w:ind w:firstLineChars="0"/>
        <w:rPr>
          <w:rFonts w:eastAsia="宋体" w:cs="Times New Roman"/>
          <w:bCs/>
          <w:szCs w:val="21"/>
        </w:rPr>
      </w:pPr>
      <w:r>
        <w:rPr>
          <w:rFonts w:eastAsia="宋体" w:cs="Times New Roman"/>
          <w:bCs/>
          <w:szCs w:val="21"/>
        </w:rPr>
        <w:t>水文、地形和地质及地下设施交叉穿越资料；</w:t>
      </w:r>
    </w:p>
    <w:p w14:paraId="71C34542">
      <w:pPr>
        <w:pStyle w:val="26"/>
        <w:numPr>
          <w:ilvl w:val="1"/>
          <w:numId w:val="5"/>
        </w:numPr>
        <w:spacing w:line="300" w:lineRule="auto"/>
        <w:ind w:firstLineChars="0"/>
        <w:rPr>
          <w:rFonts w:eastAsia="宋体" w:cs="Times New Roman"/>
          <w:bCs/>
          <w:szCs w:val="21"/>
        </w:rPr>
      </w:pPr>
      <w:r>
        <w:rPr>
          <w:rFonts w:eastAsia="宋体" w:cs="Times New Roman"/>
          <w:bCs/>
          <w:szCs w:val="21"/>
        </w:rPr>
        <w:t>管材、管件及设备的技术参数；</w:t>
      </w:r>
    </w:p>
    <w:p w14:paraId="6B44D6D5">
      <w:pPr>
        <w:pStyle w:val="26"/>
        <w:numPr>
          <w:ilvl w:val="1"/>
          <w:numId w:val="5"/>
        </w:numPr>
        <w:spacing w:line="300" w:lineRule="auto"/>
        <w:ind w:firstLineChars="0"/>
        <w:rPr>
          <w:rFonts w:eastAsia="宋体" w:cs="Times New Roman"/>
          <w:bCs/>
          <w:szCs w:val="21"/>
        </w:rPr>
      </w:pPr>
      <w:r>
        <w:rPr>
          <w:rFonts w:eastAsia="宋体" w:cs="Times New Roman"/>
          <w:bCs/>
          <w:szCs w:val="21"/>
        </w:rPr>
        <w:t>安全监测设备布置图及校准记录资料；</w:t>
      </w:r>
    </w:p>
    <w:p w14:paraId="4AF28BE9">
      <w:pPr>
        <w:pStyle w:val="26"/>
        <w:numPr>
          <w:ilvl w:val="1"/>
          <w:numId w:val="5"/>
        </w:numPr>
        <w:spacing w:line="300" w:lineRule="auto"/>
        <w:ind w:firstLineChars="0"/>
        <w:rPr>
          <w:rFonts w:eastAsia="宋体" w:cs="Times New Roman"/>
          <w:bCs/>
          <w:szCs w:val="21"/>
        </w:rPr>
      </w:pPr>
      <w:r>
        <w:rPr>
          <w:rFonts w:eastAsia="宋体" w:cs="Times New Roman"/>
          <w:bCs/>
          <w:szCs w:val="21"/>
        </w:rPr>
        <w:t>历年运行维护、事故抢修及改造记录</w:t>
      </w:r>
      <w:r>
        <w:rPr>
          <w:rFonts w:hint="eastAsia" w:eastAsia="宋体" w:cs="Times New Roman"/>
          <w:bCs/>
          <w:szCs w:val="21"/>
        </w:rPr>
        <w:t>；</w:t>
      </w:r>
    </w:p>
    <w:p w14:paraId="55EE3E16">
      <w:pPr>
        <w:pStyle w:val="26"/>
        <w:numPr>
          <w:ilvl w:val="1"/>
          <w:numId w:val="5"/>
        </w:numPr>
        <w:spacing w:line="300" w:lineRule="auto"/>
        <w:ind w:firstLineChars="0"/>
        <w:rPr>
          <w:rFonts w:eastAsia="宋体" w:cs="Times New Roman"/>
          <w:bCs/>
          <w:szCs w:val="21"/>
        </w:rPr>
      </w:pPr>
      <w:r>
        <w:rPr>
          <w:rFonts w:eastAsia="宋体" w:cs="Times New Roman"/>
          <w:bCs/>
          <w:szCs w:val="21"/>
        </w:rPr>
        <w:t>信息化管理系统技术文档。</w:t>
      </w:r>
    </w:p>
    <w:p w14:paraId="2FD0C708">
      <w:pPr>
        <w:pStyle w:val="26"/>
        <w:numPr>
          <w:ilvl w:val="0"/>
          <w:numId w:val="4"/>
        </w:numPr>
        <w:spacing w:line="300" w:lineRule="auto"/>
        <w:ind w:left="0" w:firstLine="0" w:firstLineChars="0"/>
        <w:rPr>
          <w:rFonts w:eastAsia="宋体" w:cs="Times New Roman"/>
          <w:bCs/>
          <w:szCs w:val="21"/>
        </w:rPr>
      </w:pPr>
      <w:bookmarkStart w:id="42" w:name="_Hlk199108277"/>
      <w:r>
        <w:rPr>
          <w:rFonts w:eastAsia="宋体" w:cs="Times New Roman"/>
          <w:bCs/>
          <w:szCs w:val="21"/>
        </w:rPr>
        <w:t>大型灌溉管网运行应建立健全以下规章制度，并严格实施：</w:t>
      </w:r>
    </w:p>
    <w:p w14:paraId="77704D1A">
      <w:pPr>
        <w:pStyle w:val="26"/>
        <w:numPr>
          <w:ilvl w:val="1"/>
          <w:numId w:val="6"/>
        </w:numPr>
        <w:spacing w:line="300" w:lineRule="auto"/>
        <w:ind w:firstLineChars="0"/>
        <w:rPr>
          <w:rFonts w:eastAsia="宋体" w:cs="Times New Roman"/>
          <w:bCs/>
          <w:szCs w:val="21"/>
        </w:rPr>
      </w:pPr>
      <w:r>
        <w:rPr>
          <w:rFonts w:eastAsia="宋体" w:cs="Times New Roman"/>
          <w:bCs/>
          <w:szCs w:val="21"/>
        </w:rPr>
        <w:t>运行调度与操作管理制度（含编制调度计划、调度指令发布、阀门操作制度）；</w:t>
      </w:r>
    </w:p>
    <w:p w14:paraId="2A4ADE6D">
      <w:pPr>
        <w:pStyle w:val="26"/>
        <w:numPr>
          <w:ilvl w:val="1"/>
          <w:numId w:val="6"/>
        </w:numPr>
        <w:spacing w:line="300" w:lineRule="auto"/>
        <w:ind w:firstLineChars="0"/>
        <w:rPr>
          <w:rFonts w:eastAsia="宋体" w:cs="Times New Roman"/>
          <w:bCs/>
          <w:szCs w:val="21"/>
        </w:rPr>
      </w:pPr>
      <w:r>
        <w:rPr>
          <w:rFonts w:eastAsia="宋体" w:cs="Times New Roman"/>
          <w:bCs/>
          <w:szCs w:val="21"/>
        </w:rPr>
        <w:t>安全监测与巡视检查制度（含固定测点监测、人工巡检周期、数据上报流程）；</w:t>
      </w:r>
    </w:p>
    <w:p w14:paraId="1543B85E">
      <w:pPr>
        <w:pStyle w:val="26"/>
        <w:numPr>
          <w:ilvl w:val="1"/>
          <w:numId w:val="6"/>
        </w:numPr>
        <w:spacing w:line="300" w:lineRule="auto"/>
        <w:ind w:firstLineChars="0"/>
        <w:rPr>
          <w:rFonts w:eastAsia="宋体" w:cs="Times New Roman"/>
          <w:bCs/>
          <w:szCs w:val="21"/>
        </w:rPr>
      </w:pPr>
      <w:r>
        <w:rPr>
          <w:rFonts w:eastAsia="宋体" w:cs="Times New Roman"/>
          <w:bCs/>
          <w:szCs w:val="21"/>
        </w:rPr>
        <w:t>安全评估与风险管控制度（明确评估周期、评估方法、风险分级标准）；</w:t>
      </w:r>
    </w:p>
    <w:p w14:paraId="6204AD89">
      <w:pPr>
        <w:pStyle w:val="26"/>
        <w:numPr>
          <w:ilvl w:val="1"/>
          <w:numId w:val="6"/>
        </w:numPr>
        <w:spacing w:line="300" w:lineRule="auto"/>
        <w:ind w:firstLineChars="0"/>
        <w:rPr>
          <w:rFonts w:eastAsia="宋体" w:cs="Times New Roman"/>
          <w:bCs/>
          <w:szCs w:val="21"/>
        </w:rPr>
      </w:pPr>
      <w:r>
        <w:rPr>
          <w:rFonts w:eastAsia="宋体" w:cs="Times New Roman"/>
          <w:bCs/>
          <w:szCs w:val="21"/>
        </w:rPr>
        <w:t>应急管理与抢修制度（含预案编制、物资储备、分级响应、事后评估）；</w:t>
      </w:r>
    </w:p>
    <w:p w14:paraId="6882543B">
      <w:pPr>
        <w:pStyle w:val="26"/>
        <w:numPr>
          <w:ilvl w:val="1"/>
          <w:numId w:val="6"/>
        </w:numPr>
        <w:spacing w:line="300" w:lineRule="auto"/>
        <w:ind w:firstLineChars="0"/>
        <w:rPr>
          <w:rFonts w:eastAsia="宋体" w:cs="Times New Roman"/>
          <w:bCs/>
          <w:szCs w:val="21"/>
        </w:rPr>
      </w:pPr>
      <w:r>
        <w:rPr>
          <w:rFonts w:eastAsia="宋体" w:cs="Times New Roman"/>
          <w:bCs/>
          <w:szCs w:val="21"/>
        </w:rPr>
        <w:t>设施设备维护保养制度（含阀门养护、管道清淤、电气设备检修）；</w:t>
      </w:r>
    </w:p>
    <w:p w14:paraId="6AE6581D">
      <w:pPr>
        <w:pStyle w:val="26"/>
        <w:numPr>
          <w:ilvl w:val="1"/>
          <w:numId w:val="6"/>
        </w:numPr>
        <w:spacing w:line="300" w:lineRule="auto"/>
        <w:ind w:firstLineChars="0"/>
        <w:rPr>
          <w:rFonts w:eastAsia="宋体" w:cs="Times New Roman"/>
          <w:bCs/>
          <w:szCs w:val="21"/>
        </w:rPr>
      </w:pPr>
      <w:r>
        <w:rPr>
          <w:rFonts w:eastAsia="宋体" w:cs="Times New Roman"/>
          <w:bCs/>
          <w:szCs w:val="21"/>
        </w:rPr>
        <w:t>灌溉水质管理制度（含水源水质监测、含沙量控制）</w:t>
      </w:r>
      <w:r>
        <w:rPr>
          <w:rFonts w:hint="eastAsia" w:eastAsia="宋体" w:cs="Times New Roman"/>
          <w:bCs/>
          <w:szCs w:val="21"/>
        </w:rPr>
        <w:t>；</w:t>
      </w:r>
    </w:p>
    <w:p w14:paraId="21CF33F8">
      <w:pPr>
        <w:pStyle w:val="26"/>
        <w:numPr>
          <w:ilvl w:val="1"/>
          <w:numId w:val="6"/>
        </w:numPr>
        <w:spacing w:line="300" w:lineRule="auto"/>
        <w:ind w:firstLineChars="0"/>
        <w:rPr>
          <w:rFonts w:eastAsia="宋体" w:cs="Times New Roman"/>
          <w:bCs/>
          <w:szCs w:val="21"/>
        </w:rPr>
      </w:pPr>
      <w:r>
        <w:rPr>
          <w:rFonts w:eastAsia="宋体" w:cs="Times New Roman"/>
          <w:bCs/>
          <w:szCs w:val="21"/>
        </w:rPr>
        <w:t>信息管理与档案保密制度（含数据备份、图档更新、保密权限）。</w:t>
      </w:r>
    </w:p>
    <w:bookmarkEnd w:id="42"/>
    <w:p w14:paraId="25096612">
      <w:pPr>
        <w:pStyle w:val="26"/>
        <w:numPr>
          <w:ilvl w:val="0"/>
          <w:numId w:val="4"/>
        </w:numPr>
        <w:spacing w:line="300" w:lineRule="auto"/>
        <w:ind w:left="0" w:firstLine="0" w:firstLineChars="0"/>
        <w:rPr>
          <w:rFonts w:eastAsia="宋体" w:cs="Times New Roman"/>
          <w:bCs/>
          <w:szCs w:val="21"/>
        </w:rPr>
      </w:pPr>
      <w:r>
        <w:rPr>
          <w:rFonts w:eastAsia="宋体" w:cs="Times New Roman"/>
          <w:bCs/>
          <w:szCs w:val="21"/>
        </w:rPr>
        <w:t>大型灌溉管网主干管线、泵站、调压塔（井）等重要建筑物应划定安全保护范围，并设置醒目的安全警示标识。穿越道路、河道及地质不稳定区的管段应增设加密警示桩</w:t>
      </w:r>
      <w:r>
        <w:rPr>
          <w:rFonts w:hint="eastAsia" w:eastAsia="宋体" w:cs="Times New Roman"/>
          <w:bCs/>
          <w:szCs w:val="21"/>
        </w:rPr>
        <w:t>。</w:t>
      </w:r>
    </w:p>
    <w:p w14:paraId="749D841F">
      <w:pPr>
        <w:pStyle w:val="26"/>
        <w:numPr>
          <w:ilvl w:val="0"/>
          <w:numId w:val="4"/>
        </w:numPr>
        <w:spacing w:line="300" w:lineRule="auto"/>
        <w:ind w:left="0" w:firstLine="0" w:firstLineChars="0"/>
        <w:rPr>
          <w:rFonts w:eastAsia="宋体" w:cs="Times New Roman"/>
          <w:bCs/>
          <w:szCs w:val="21"/>
        </w:rPr>
      </w:pPr>
      <w:r>
        <w:rPr>
          <w:rFonts w:eastAsia="宋体" w:cs="Times New Roman"/>
          <w:bCs/>
          <w:szCs w:val="21"/>
        </w:rPr>
        <w:t>从事</w:t>
      </w:r>
      <w:bookmarkStart w:id="43" w:name="_Hlk199108310"/>
      <w:r>
        <w:rPr>
          <w:rFonts w:eastAsia="宋体" w:cs="Times New Roman"/>
          <w:bCs/>
          <w:szCs w:val="21"/>
        </w:rPr>
        <w:t>管网运行调度、监测操作、安全评估及应急抢修的人员，应经过专业技术培训，熟悉本规程及相关设备操作规程，考核合格后方可持证上岗。</w:t>
      </w:r>
      <w:bookmarkEnd w:id="43"/>
    </w:p>
    <w:p w14:paraId="59E29352">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44" w:name="_Toc234402371"/>
      <w:r>
        <w:rPr>
          <w:rFonts w:ascii="黑体" w:hAnsi="黑体" w:cs="Times New Roman"/>
        </w:rPr>
        <w:t>运行调度</w:t>
      </w:r>
      <w:bookmarkEnd w:id="44"/>
    </w:p>
    <w:p w14:paraId="643A8694">
      <w:pPr>
        <w:pStyle w:val="26"/>
        <w:numPr>
          <w:ilvl w:val="0"/>
          <w:numId w:val="7"/>
        </w:numPr>
        <w:spacing w:line="300" w:lineRule="auto"/>
        <w:ind w:left="0" w:firstLine="0" w:firstLineChars="0"/>
        <w:rPr>
          <w:shd w:val="clear" w:color="auto" w:fill="FFFFFF"/>
        </w:rPr>
      </w:pPr>
      <w:bookmarkStart w:id="45" w:name="_Hlk192949986"/>
      <w:bookmarkStart w:id="46" w:name="OLE_LINK9"/>
      <w:r>
        <w:rPr>
          <w:shd w:val="clear" w:color="auto" w:fill="FFFFFF"/>
        </w:rPr>
        <w:t>大型灌溉管网工程应配备与灌溉规模相适应的调度人员、监控设备和计算机辅助调度系统，调度工作范围应包括整个输配水管网、泵站、调压设施及水源工程取水口等。</w:t>
      </w:r>
    </w:p>
    <w:p w14:paraId="3449DB25">
      <w:pPr>
        <w:pStyle w:val="26"/>
        <w:numPr>
          <w:ilvl w:val="0"/>
          <w:numId w:val="7"/>
        </w:numPr>
        <w:spacing w:line="300" w:lineRule="auto"/>
        <w:ind w:left="0" w:firstLine="0" w:firstLineChars="0"/>
        <w:rPr>
          <w:bCs/>
          <w:shd w:val="clear" w:color="auto" w:fill="FFFFFF"/>
        </w:rPr>
      </w:pPr>
      <w:r>
        <w:rPr>
          <w:bCs/>
          <w:shd w:val="clear" w:color="auto" w:fill="FFFFFF"/>
        </w:rPr>
        <w:t>调度工作应包括编制各类调度计划、发布调度指令并监督执行、协调处理管网运行突发事件，以及编写突发事件处理报告和调度工作总结。</w:t>
      </w:r>
    </w:p>
    <w:p w14:paraId="1068EC31">
      <w:pPr>
        <w:pStyle w:val="26"/>
        <w:numPr>
          <w:ilvl w:val="0"/>
          <w:numId w:val="7"/>
        </w:numPr>
        <w:spacing w:line="300" w:lineRule="auto"/>
        <w:ind w:left="0" w:firstLine="0" w:firstLineChars="0"/>
        <w:rPr>
          <w:bCs/>
          <w:shd w:val="clear" w:color="auto" w:fill="FFFFFF"/>
        </w:rPr>
      </w:pPr>
      <w:r>
        <w:rPr>
          <w:rFonts w:hint="eastAsia"/>
          <w:bCs/>
          <w:shd w:val="clear" w:color="auto" w:fill="FFFFFF"/>
        </w:rPr>
        <w:t>运行</w:t>
      </w:r>
      <w:r>
        <w:rPr>
          <w:bCs/>
          <w:shd w:val="clear" w:color="auto" w:fill="FFFFFF"/>
        </w:rPr>
        <w:t>调度应遵循安全优先、需水驱动、分区统筹、平稳高效的原则，调度操作应确保管网压力不超过设计工作压力，阀门启闭速度应满足水锤防护要求，优先保障高需水区域和作物关键生长期用水。</w:t>
      </w:r>
    </w:p>
    <w:p w14:paraId="2439CDCC">
      <w:pPr>
        <w:pStyle w:val="26"/>
        <w:numPr>
          <w:ilvl w:val="0"/>
          <w:numId w:val="7"/>
        </w:numPr>
        <w:spacing w:line="300" w:lineRule="auto"/>
        <w:ind w:left="0" w:firstLine="0" w:firstLineChars="0"/>
        <w:rPr>
          <w:bCs/>
          <w:shd w:val="clear" w:color="auto" w:fill="FFFFFF"/>
        </w:rPr>
      </w:pPr>
      <w:r>
        <w:rPr>
          <w:bCs/>
          <w:shd w:val="clear" w:color="auto" w:fill="FFFFFF"/>
        </w:rPr>
        <w:t>应建立基于地理高程、作物类型和管网拓扑结构的用水量与压力分析系统，作为分区调度和优化调度的基础。</w:t>
      </w:r>
    </w:p>
    <w:p w14:paraId="5898D536">
      <w:pPr>
        <w:pStyle w:val="26"/>
        <w:numPr>
          <w:ilvl w:val="0"/>
          <w:numId w:val="7"/>
        </w:numPr>
        <w:spacing w:line="300" w:lineRule="auto"/>
        <w:ind w:left="0" w:firstLine="0" w:firstLineChars="0"/>
        <w:rPr>
          <w:bCs/>
          <w:shd w:val="clear" w:color="auto" w:fill="FFFFFF"/>
        </w:rPr>
      </w:pPr>
      <w:r>
        <w:rPr>
          <w:bCs/>
          <w:shd w:val="clear" w:color="auto" w:fill="FFFFFF"/>
        </w:rPr>
        <w:t>调度计划分为年度计划、灌溉季计划、月（旬）计划和日计划四级，年度计划确定年度用水总量控制目标，灌溉季计划确定各分区灌溉定额和调度模式，月（旬）计划细化各时段供水量和压力控制目标，日计划明确泵站开机方案和阀门操作计划。</w:t>
      </w:r>
    </w:p>
    <w:p w14:paraId="7A386B1B">
      <w:pPr>
        <w:pStyle w:val="26"/>
        <w:numPr>
          <w:ilvl w:val="0"/>
          <w:numId w:val="7"/>
        </w:numPr>
        <w:spacing w:line="300" w:lineRule="auto"/>
        <w:ind w:left="0" w:firstLine="0" w:firstLineChars="0"/>
        <w:rPr>
          <w:bCs/>
          <w:shd w:val="clear" w:color="auto" w:fill="FFFFFF"/>
        </w:rPr>
      </w:pPr>
      <w:r>
        <w:rPr>
          <w:bCs/>
          <w:shd w:val="clear" w:color="auto" w:fill="FFFFFF"/>
        </w:rPr>
        <w:t>调度计划编制应充分收集作物种植结构、土壤墒情、气象预报和水源条件等基础信息，在满足作物需水的前提下统筹输配能力和经济运行要求，明确各分区供水顺序、流量、时段及压力控制指标，计划变更时应履行审批程序并记录变更原因。</w:t>
      </w:r>
    </w:p>
    <w:p w14:paraId="6171D9A0">
      <w:pPr>
        <w:pStyle w:val="26"/>
        <w:numPr>
          <w:ilvl w:val="0"/>
          <w:numId w:val="7"/>
        </w:numPr>
        <w:spacing w:line="300" w:lineRule="auto"/>
        <w:ind w:left="0" w:firstLine="0" w:firstLineChars="0"/>
        <w:rPr>
          <w:bCs/>
          <w:shd w:val="clear" w:color="auto" w:fill="FFFFFF"/>
        </w:rPr>
      </w:pPr>
      <w:r>
        <w:rPr>
          <w:bCs/>
          <w:shd w:val="clear" w:color="auto" w:fill="FFFFFF"/>
        </w:rPr>
        <w:t>灌溉期高峰用水应采用轮灌与续灌结合的混灌模式，轮灌组划分应兼顾水力平衡和用水需求，低峰用水期应实施管道轮休并关闭非必要支管阀门。分区切换应执行“先开后关”原则，新分区阀门</w:t>
      </w:r>
      <w:r>
        <w:rPr>
          <w:rFonts w:hint="eastAsia"/>
          <w:bCs/>
          <w:shd w:val="clear" w:color="auto" w:fill="FFFFFF"/>
        </w:rPr>
        <w:t>开度</w:t>
      </w:r>
      <w:r>
        <w:rPr>
          <w:bCs/>
          <w:shd w:val="clear" w:color="auto" w:fill="FFFFFF"/>
        </w:rPr>
        <w:t>开启50%后再关闭原分区阀门，操作间隔不小于10min，并通过调压阀或变频泵组实现压力平稳过渡。</w:t>
      </w:r>
    </w:p>
    <w:p w14:paraId="67B6C1D7">
      <w:pPr>
        <w:pStyle w:val="26"/>
        <w:numPr>
          <w:ilvl w:val="0"/>
          <w:numId w:val="7"/>
        </w:numPr>
        <w:spacing w:line="300" w:lineRule="auto"/>
        <w:ind w:left="0" w:firstLine="0" w:firstLineChars="0"/>
        <w:rPr>
          <w:bCs/>
          <w:shd w:val="clear" w:color="auto" w:fill="FFFFFF"/>
        </w:rPr>
      </w:pPr>
      <w:r>
        <w:rPr>
          <w:shd w:val="clear" w:color="auto" w:fill="FFFFFF"/>
        </w:rPr>
        <w:t>极端天气（暴雨、冰冻、干旱）应启动专项调度措施，如降压运行、排水防冻或启动应急供水。</w:t>
      </w:r>
    </w:p>
    <w:p w14:paraId="69373277">
      <w:pPr>
        <w:pStyle w:val="26"/>
        <w:numPr>
          <w:ilvl w:val="0"/>
          <w:numId w:val="7"/>
        </w:numPr>
        <w:spacing w:line="300" w:lineRule="auto"/>
        <w:ind w:left="0" w:firstLine="0" w:firstLineChars="0"/>
        <w:rPr>
          <w:bCs/>
          <w:shd w:val="clear" w:color="auto" w:fill="FFFFFF"/>
        </w:rPr>
      </w:pPr>
      <w:r>
        <w:rPr>
          <w:bCs/>
          <w:shd w:val="clear" w:color="auto" w:fill="FFFFFF"/>
        </w:rPr>
        <w:t>灌溉季结束后应编制非灌溉期管网维护调度计划，明确管道排空、冲洗及设备检修安排；需保持管网充水的，应维持低压力运行并定期巡检；管道改造维修工程应制定专项停水调度方案，减少对下一灌溉季的影响。</w:t>
      </w:r>
    </w:p>
    <w:p w14:paraId="0597E583">
      <w:pPr>
        <w:pStyle w:val="26"/>
        <w:numPr>
          <w:ilvl w:val="0"/>
          <w:numId w:val="7"/>
        </w:numPr>
        <w:spacing w:line="300" w:lineRule="auto"/>
        <w:ind w:left="0" w:firstLine="0" w:firstLineChars="0"/>
        <w:rPr>
          <w:bCs/>
          <w:shd w:val="clear" w:color="auto" w:fill="FFFFFF"/>
        </w:rPr>
      </w:pPr>
      <w:r>
        <w:rPr>
          <w:bCs/>
          <w:shd w:val="clear" w:color="auto" w:fill="FFFFFF"/>
        </w:rPr>
        <w:t>主干管及分水枢纽阀门启闭前</w:t>
      </w:r>
      <w:r>
        <w:rPr>
          <w:rFonts w:hint="eastAsia"/>
          <w:bCs/>
          <w:shd w:val="clear" w:color="auto" w:fill="FFFFFF"/>
        </w:rPr>
        <w:t>，</w:t>
      </w:r>
      <w:r>
        <w:rPr>
          <w:bCs/>
          <w:shd w:val="clear" w:color="auto" w:fill="FFFFFF"/>
        </w:rPr>
        <w:t>应进行水锤估算，压升超过工作压力20%时应调整方案，同一管段上下游阀门禁止同时启闭，每次操作应记录操作人、时间、圈数及前后压差。</w:t>
      </w:r>
    </w:p>
    <w:p w14:paraId="2F4C83BF">
      <w:pPr>
        <w:pStyle w:val="26"/>
        <w:numPr>
          <w:ilvl w:val="0"/>
          <w:numId w:val="7"/>
        </w:numPr>
        <w:spacing w:line="300" w:lineRule="auto"/>
        <w:ind w:left="0" w:firstLine="0" w:firstLineChars="0"/>
        <w:rPr>
          <w:bCs/>
          <w:shd w:val="clear" w:color="auto" w:fill="FFFFFF"/>
        </w:rPr>
      </w:pPr>
      <w:r>
        <w:rPr>
          <w:bCs/>
          <w:shd w:val="clear" w:color="auto" w:fill="FFFFFF"/>
        </w:rPr>
        <w:t>应建立调度预案库，包括日常调度预案、极端天气调度预案和突发事件调度预案三类，并应结合管网数学模型进行优化调度分析，每年至少对调度策略进行一次评估更新。</w:t>
      </w:r>
    </w:p>
    <w:p w14:paraId="7FB9B45F">
      <w:pPr>
        <w:pStyle w:val="26"/>
        <w:numPr>
          <w:ilvl w:val="0"/>
          <w:numId w:val="7"/>
        </w:numPr>
        <w:spacing w:line="300" w:lineRule="auto"/>
        <w:ind w:left="0" w:firstLine="0" w:firstLineChars="0"/>
        <w:rPr>
          <w:bCs/>
          <w:shd w:val="clear" w:color="auto" w:fill="FFFFFF"/>
        </w:rPr>
      </w:pPr>
      <w:r>
        <w:rPr>
          <w:shd w:val="clear" w:color="auto" w:fill="FFFFFF"/>
        </w:rPr>
        <w:t>宜建立与管网运行相适应的水力模型，用于多工况运行校核、运行状态在线模拟和评估。水力模型应根据实测数据进行校核，90%的节点压力模拟</w:t>
      </w:r>
      <w:r>
        <w:rPr>
          <w:rFonts w:hint="eastAsia"/>
          <w:shd w:val="clear" w:color="auto" w:fill="FFFFFF"/>
        </w:rPr>
        <w:t>绝对</w:t>
      </w:r>
      <w:r>
        <w:rPr>
          <w:shd w:val="clear" w:color="auto" w:fill="FFFFFF"/>
        </w:rPr>
        <w:t>误差应小于20kPa，90%的管段流量模拟</w:t>
      </w:r>
      <w:r>
        <w:rPr>
          <w:rFonts w:hint="eastAsia"/>
          <w:shd w:val="clear" w:color="auto" w:fill="FFFFFF"/>
        </w:rPr>
        <w:t>相对</w:t>
      </w:r>
      <w:r>
        <w:rPr>
          <w:shd w:val="clear" w:color="auto" w:fill="FFFFFF"/>
        </w:rPr>
        <w:t>误差应小于10%。水力模型应与GIS无缝连接，并根据管网更新情况定期维护。</w:t>
      </w:r>
    </w:p>
    <w:bookmarkEnd w:id="45"/>
    <w:bookmarkEnd w:id="46"/>
    <w:p w14:paraId="2566EFDC">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47" w:name="_Toc199133655"/>
      <w:bookmarkEnd w:id="47"/>
      <w:bookmarkStart w:id="48" w:name="_Toc199133650"/>
      <w:bookmarkEnd w:id="48"/>
      <w:bookmarkStart w:id="49" w:name="_Toc199133652"/>
      <w:bookmarkEnd w:id="49"/>
      <w:bookmarkStart w:id="50" w:name="_Toc199133599"/>
      <w:bookmarkEnd w:id="50"/>
      <w:bookmarkStart w:id="51" w:name="_Toc199133591"/>
      <w:bookmarkEnd w:id="51"/>
      <w:bookmarkStart w:id="52" w:name="_Toc199133659"/>
      <w:bookmarkEnd w:id="52"/>
      <w:bookmarkStart w:id="53" w:name="_Toc199133593"/>
      <w:bookmarkEnd w:id="53"/>
      <w:bookmarkStart w:id="54" w:name="_Toc199133598"/>
      <w:bookmarkEnd w:id="54"/>
      <w:bookmarkStart w:id="55" w:name="_Toc199133649"/>
      <w:bookmarkEnd w:id="55"/>
      <w:bookmarkStart w:id="56" w:name="_Toc199133596"/>
      <w:bookmarkEnd w:id="56"/>
      <w:bookmarkStart w:id="57" w:name="_Toc199133592"/>
      <w:bookmarkEnd w:id="57"/>
      <w:bookmarkStart w:id="58" w:name="_Toc199133597"/>
      <w:bookmarkEnd w:id="58"/>
      <w:bookmarkStart w:id="59" w:name="_Toc199133595"/>
      <w:bookmarkEnd w:id="59"/>
      <w:bookmarkStart w:id="60" w:name="_Toc199133651"/>
      <w:bookmarkEnd w:id="60"/>
      <w:bookmarkStart w:id="61" w:name="_Toc199133653"/>
      <w:bookmarkEnd w:id="61"/>
      <w:bookmarkStart w:id="62" w:name="_Toc199133600"/>
      <w:bookmarkEnd w:id="62"/>
      <w:bookmarkStart w:id="63" w:name="_Toc199133656"/>
      <w:bookmarkEnd w:id="63"/>
      <w:bookmarkStart w:id="64" w:name="_Toc199133594"/>
      <w:bookmarkEnd w:id="64"/>
      <w:bookmarkStart w:id="65" w:name="_Toc199133590"/>
      <w:bookmarkEnd w:id="65"/>
      <w:bookmarkStart w:id="66" w:name="_Toc199133658"/>
      <w:bookmarkEnd w:id="66"/>
      <w:bookmarkStart w:id="67" w:name="_Toc199133654"/>
      <w:bookmarkEnd w:id="67"/>
      <w:bookmarkStart w:id="68" w:name="_Toc199133657"/>
      <w:bookmarkEnd w:id="68"/>
      <w:bookmarkStart w:id="69" w:name="_Toc234402372"/>
      <w:r>
        <w:rPr>
          <w:rFonts w:ascii="黑体" w:hAnsi="黑体" w:cs="Times New Roman"/>
        </w:rPr>
        <w:t>安全调控</w:t>
      </w:r>
      <w:bookmarkEnd w:id="69"/>
    </w:p>
    <w:p w14:paraId="790C8A9C">
      <w:pPr>
        <w:pStyle w:val="3"/>
        <w:numPr>
          <w:ilvl w:val="0"/>
          <w:numId w:val="8"/>
        </w:numPr>
        <w:spacing w:before="0" w:beforeLines="0" w:after="0" w:afterLines="0" w:line="300" w:lineRule="auto"/>
        <w:jc w:val="both"/>
        <w:rPr>
          <w:rFonts w:hint="eastAsia" w:cs="Times New Roman"/>
        </w:rPr>
      </w:pPr>
      <w:bookmarkStart w:id="70" w:name="_Toc234402373"/>
      <w:r>
        <w:rPr>
          <w:rFonts w:cs="Times New Roman"/>
        </w:rPr>
        <w:t>一般规定</w:t>
      </w:r>
      <w:bookmarkEnd w:id="70"/>
    </w:p>
    <w:p w14:paraId="712E6BA5">
      <w:pPr>
        <w:pStyle w:val="60"/>
        <w:numPr>
          <w:ilvl w:val="0"/>
          <w:numId w:val="9"/>
        </w:numPr>
        <w:spacing w:line="300" w:lineRule="auto"/>
        <w:ind w:left="0" w:firstLine="0"/>
        <w:rPr>
          <w:rFonts w:eastAsia="宋体" w:cs="Times New Roman"/>
          <w:szCs w:val="21"/>
        </w:rPr>
      </w:pPr>
      <w:r>
        <w:rPr>
          <w:rFonts w:eastAsia="宋体" w:cs="Times New Roman"/>
          <w:color w:val="0F1115"/>
          <w:szCs w:val="21"/>
          <w:shd w:val="clear" w:color="auto" w:fill="FFFFFF"/>
        </w:rPr>
        <w:t>安全调控应以维持管道运行状态在设计安全阈值内为目标，调控对象应涵盖压力、流量、</w:t>
      </w:r>
      <w:r>
        <w:rPr>
          <w:rFonts w:hint="eastAsia" w:eastAsia="宋体" w:cs="Times New Roman"/>
          <w:color w:val="0F1115"/>
          <w:szCs w:val="21"/>
          <w:shd w:val="clear" w:color="auto" w:fill="FFFFFF"/>
        </w:rPr>
        <w:t>水锤</w:t>
      </w:r>
      <w:r>
        <w:rPr>
          <w:rFonts w:eastAsia="宋体" w:cs="Times New Roman"/>
          <w:color w:val="0F1115"/>
          <w:szCs w:val="21"/>
          <w:shd w:val="clear" w:color="auto" w:fill="FFFFFF"/>
        </w:rPr>
        <w:t>、淤积及结构位移等关键变量。调控应遵循预防优先、分级管控的原则，阀门、泵站与调压设施应实行联合调度，单一节点调控不应影响相邻管段运行安全。</w:t>
      </w:r>
    </w:p>
    <w:p w14:paraId="1CE48537">
      <w:pPr>
        <w:pStyle w:val="60"/>
        <w:numPr>
          <w:ilvl w:val="0"/>
          <w:numId w:val="9"/>
        </w:numPr>
        <w:spacing w:line="300" w:lineRule="auto"/>
        <w:ind w:left="0" w:firstLine="0"/>
        <w:rPr>
          <w:rFonts w:eastAsia="宋体" w:cs="Times New Roman"/>
          <w:color w:val="0F1115"/>
          <w:szCs w:val="21"/>
          <w:shd w:val="clear" w:color="auto" w:fill="FFFFFF"/>
        </w:rPr>
      </w:pPr>
      <w:r>
        <w:rPr>
          <w:rFonts w:eastAsia="宋体" w:cs="Times New Roman"/>
          <w:color w:val="0F1115"/>
          <w:szCs w:val="21"/>
          <w:shd w:val="clear" w:color="auto" w:fill="FFFFFF"/>
        </w:rPr>
        <w:t>应建立“监测—评估—调控”闭环管理机制，当安全监测数据达到预警阈值时，应自动或手动启动对应的调控措施。每年灌溉季结束后应对调控策略的运行效能进行综合评价，并据此优化次年调控方案。</w:t>
      </w:r>
    </w:p>
    <w:p w14:paraId="05D75498">
      <w:pPr>
        <w:pStyle w:val="3"/>
        <w:numPr>
          <w:ilvl w:val="0"/>
          <w:numId w:val="8"/>
        </w:numPr>
        <w:spacing w:before="0" w:beforeLines="0" w:after="0" w:afterLines="0" w:line="300" w:lineRule="auto"/>
        <w:jc w:val="both"/>
        <w:rPr>
          <w:rFonts w:hint="eastAsia" w:cs="Times New Roman"/>
        </w:rPr>
      </w:pPr>
      <w:bookmarkStart w:id="71" w:name="_Toc234402374"/>
      <w:r>
        <w:rPr>
          <w:rFonts w:cs="Times New Roman"/>
        </w:rPr>
        <w:t>压力调控</w:t>
      </w:r>
      <w:bookmarkEnd w:id="71"/>
    </w:p>
    <w:p w14:paraId="30D4F4E1">
      <w:pPr>
        <w:pStyle w:val="60"/>
        <w:numPr>
          <w:ilvl w:val="0"/>
          <w:numId w:val="10"/>
        </w:numPr>
        <w:spacing w:line="300" w:lineRule="auto"/>
        <w:ind w:left="0" w:firstLine="0"/>
        <w:rPr>
          <w:rFonts w:eastAsia="宋体" w:cs="Times New Roman"/>
        </w:rPr>
      </w:pPr>
      <w:r>
        <w:rPr>
          <w:rFonts w:eastAsia="宋体" w:cs="Times New Roman"/>
        </w:rPr>
        <w:t>应按地理高程和管网拓扑划分压力调控分区，各分区根据设计工作压力分别设定运行压力上、下限。不同高程分区之间应设置调压阀或减压阀，实行多级减压。</w:t>
      </w:r>
    </w:p>
    <w:p w14:paraId="74C33546">
      <w:pPr>
        <w:pStyle w:val="60"/>
        <w:numPr>
          <w:ilvl w:val="0"/>
          <w:numId w:val="10"/>
        </w:numPr>
        <w:spacing w:line="300" w:lineRule="auto"/>
        <w:ind w:left="0" w:firstLine="0"/>
        <w:rPr>
          <w:rFonts w:eastAsia="宋体" w:cs="Times New Roman"/>
        </w:rPr>
      </w:pPr>
      <w:r>
        <w:rPr>
          <w:rFonts w:eastAsia="宋体" w:cs="Times New Roman"/>
        </w:rPr>
        <w:t>泵站应配备变频调速装置，压力调节响应时间不应大于2min，超调量不应大于设定值的5%。节点压力波动应控制在对应工况设计压力的±20%以内，相邻压力监测点压差持续</w:t>
      </w:r>
      <w:r>
        <w:rPr>
          <w:rFonts w:hint="eastAsia" w:ascii="Segoe UI" w:hAnsi="Segoe UI" w:eastAsia="宋体" w:cs="Segoe UI"/>
          <w:color w:val="0F1115"/>
          <w:sz w:val="22"/>
          <w:shd w:val="clear" w:color="auto" w:fill="FFFFFF"/>
        </w:rPr>
        <w:t>超过该分区运行压力偏差值</w:t>
      </w:r>
      <w:r>
        <w:rPr>
          <w:rFonts w:hint="eastAsia" w:eastAsia="宋体" w:cs="Times New Roman"/>
        </w:rPr>
        <w:t>时</w:t>
      </w:r>
      <w:r>
        <w:rPr>
          <w:rFonts w:eastAsia="宋体" w:cs="Times New Roman"/>
        </w:rPr>
        <w:t>应触发预警，并自动启动调压阀调节或变频调整。</w:t>
      </w:r>
    </w:p>
    <w:p w14:paraId="7FDFC0F4">
      <w:pPr>
        <w:pStyle w:val="60"/>
        <w:numPr>
          <w:ilvl w:val="0"/>
          <w:numId w:val="10"/>
        </w:numPr>
        <w:spacing w:line="300" w:lineRule="auto"/>
        <w:ind w:left="0" w:firstLine="0"/>
        <w:rPr>
          <w:rFonts w:eastAsia="宋体" w:cs="Times New Roman"/>
        </w:rPr>
      </w:pPr>
      <w:r>
        <w:rPr>
          <w:rFonts w:eastAsia="宋体" w:cs="Times New Roman"/>
        </w:rPr>
        <w:t>水泵启停及阀门操作前应进行水锤估算，瞬变压力升幅超过工作压力20%或产生负压时应调整操作方案。</w:t>
      </w:r>
    </w:p>
    <w:p w14:paraId="45FA3AAA">
      <w:pPr>
        <w:pStyle w:val="60"/>
        <w:numPr>
          <w:ilvl w:val="0"/>
          <w:numId w:val="10"/>
        </w:numPr>
        <w:spacing w:line="300" w:lineRule="auto"/>
        <w:ind w:left="0" w:firstLine="0"/>
        <w:rPr>
          <w:rFonts w:eastAsia="宋体" w:cs="Times New Roman"/>
        </w:rPr>
      </w:pPr>
      <w:r>
        <w:rPr>
          <w:rFonts w:eastAsia="宋体" w:cs="Times New Roman"/>
        </w:rPr>
        <w:t>大口径阀门（DN≥1000）应采用两阶段关闭：90%至50%开度不应小于30s，50%至全关不应小于120s。电动阀门每日启闭不宜</w:t>
      </w:r>
      <w:r>
        <w:rPr>
          <w:rFonts w:hint="eastAsia" w:eastAsia="宋体" w:cs="Times New Roman"/>
        </w:rPr>
        <w:t>超过</w:t>
      </w:r>
      <w:r>
        <w:rPr>
          <w:rFonts w:eastAsia="宋体" w:cs="Times New Roman"/>
        </w:rPr>
        <w:t>30次，相邻两次操作间隔不宜小于10min。同一管段上下游阀门禁止同时启闭。</w:t>
      </w:r>
    </w:p>
    <w:p w14:paraId="2BA9667F">
      <w:pPr>
        <w:pStyle w:val="60"/>
        <w:numPr>
          <w:ilvl w:val="0"/>
          <w:numId w:val="10"/>
        </w:numPr>
        <w:spacing w:line="300" w:lineRule="auto"/>
        <w:ind w:left="0" w:firstLine="0"/>
        <w:rPr>
          <w:rFonts w:eastAsia="宋体" w:cs="Times New Roman"/>
        </w:rPr>
      </w:pPr>
      <w:r>
        <w:rPr>
          <w:rFonts w:eastAsia="宋体" w:cs="Times New Roman"/>
        </w:rPr>
        <w:t>在长距离输水管道、高扬程泵站出口等水锤高风险管段，应设置水锤消除罐、缓闭止回阀或真空破坏阀等防护设施，并每年灌溉季前进行一次功能测试。</w:t>
      </w:r>
    </w:p>
    <w:p w14:paraId="1CCDEEB4">
      <w:pPr>
        <w:pStyle w:val="3"/>
        <w:numPr>
          <w:ilvl w:val="0"/>
          <w:numId w:val="8"/>
        </w:numPr>
        <w:spacing w:before="0" w:beforeLines="0" w:after="0" w:afterLines="0" w:line="300" w:lineRule="auto"/>
        <w:jc w:val="both"/>
        <w:rPr>
          <w:rFonts w:hint="eastAsia" w:cs="Times New Roman"/>
        </w:rPr>
      </w:pPr>
      <w:bookmarkStart w:id="72" w:name="_Toc234402375"/>
      <w:r>
        <w:rPr>
          <w:rFonts w:cs="Times New Roman"/>
        </w:rPr>
        <w:t>流量调控</w:t>
      </w:r>
      <w:bookmarkEnd w:id="72"/>
    </w:p>
    <w:p w14:paraId="234B3DB1">
      <w:pPr>
        <w:pStyle w:val="60"/>
        <w:numPr>
          <w:ilvl w:val="0"/>
          <w:numId w:val="11"/>
        </w:numPr>
        <w:spacing w:line="300" w:lineRule="auto"/>
        <w:ind w:left="0" w:firstLine="0"/>
        <w:rPr>
          <w:rFonts w:eastAsia="宋体" w:cs="Times New Roman"/>
        </w:rPr>
      </w:pPr>
      <w:r>
        <w:rPr>
          <w:rFonts w:eastAsia="宋体" w:cs="Times New Roman"/>
        </w:rPr>
        <w:t>日流量偏差超过15%时应触发预警并排查原因，必要时通过阀门或变频调节恢复至目标流量范围。</w:t>
      </w:r>
    </w:p>
    <w:p w14:paraId="188A8206">
      <w:pPr>
        <w:pStyle w:val="60"/>
        <w:numPr>
          <w:ilvl w:val="0"/>
          <w:numId w:val="11"/>
        </w:numPr>
        <w:spacing w:line="300" w:lineRule="auto"/>
        <w:ind w:left="0" w:firstLine="0"/>
        <w:rPr>
          <w:rFonts w:eastAsia="宋体" w:cs="Times New Roman"/>
        </w:rPr>
      </w:pPr>
      <w:r>
        <w:rPr>
          <w:rFonts w:eastAsia="宋体" w:cs="Times New Roman"/>
        </w:rPr>
        <w:t>运行流速应控制在设计允许范围内。</w:t>
      </w:r>
      <w:r>
        <w:rPr>
          <w:rFonts w:hint="eastAsia" w:eastAsia="宋体" w:cs="Times New Roman"/>
        </w:rPr>
        <w:t>不同管材应执行相应允许流速，</w:t>
      </w:r>
      <w:r>
        <w:rPr>
          <w:rFonts w:eastAsia="宋体" w:cs="Times New Roman"/>
        </w:rPr>
        <w:t>超过时应采取分流或调流措施。</w:t>
      </w:r>
    </w:p>
    <w:p w14:paraId="14AAE80A">
      <w:pPr>
        <w:pStyle w:val="3"/>
        <w:numPr>
          <w:ilvl w:val="0"/>
          <w:numId w:val="8"/>
        </w:numPr>
        <w:spacing w:before="0" w:beforeLines="0" w:after="0" w:afterLines="0" w:line="300" w:lineRule="auto"/>
        <w:jc w:val="both"/>
        <w:rPr>
          <w:rFonts w:hint="eastAsia" w:cs="Times New Roman"/>
        </w:rPr>
      </w:pPr>
      <w:bookmarkStart w:id="73" w:name="_Toc234402376"/>
      <w:r>
        <w:rPr>
          <w:rFonts w:cs="Times New Roman"/>
        </w:rPr>
        <w:t>淤积</w:t>
      </w:r>
      <w:r>
        <w:rPr>
          <w:rFonts w:hint="eastAsia" w:cs="Times New Roman"/>
        </w:rPr>
        <w:t>防控</w:t>
      </w:r>
      <w:bookmarkEnd w:id="73"/>
    </w:p>
    <w:p w14:paraId="7B948286">
      <w:pPr>
        <w:pStyle w:val="60"/>
        <w:numPr>
          <w:ilvl w:val="0"/>
          <w:numId w:val="12"/>
        </w:numPr>
        <w:spacing w:line="300" w:lineRule="auto"/>
        <w:ind w:left="0" w:firstLine="0"/>
        <w:rPr>
          <w:rFonts w:eastAsia="宋体" w:cs="Times New Roman"/>
        </w:rPr>
      </w:pPr>
      <w:r>
        <w:rPr>
          <w:rFonts w:eastAsia="宋体" w:cs="Times New Roman"/>
        </w:rPr>
        <w:t>灌溉水质应符合GB 5084的规定</w:t>
      </w:r>
      <w:r>
        <w:rPr>
          <w:rFonts w:hint="eastAsia" w:eastAsia="宋体" w:cs="Times New Roman"/>
        </w:rPr>
        <w:t>。</w:t>
      </w:r>
      <w:r>
        <w:rPr>
          <w:rFonts w:eastAsia="宋体" w:cs="Times New Roman"/>
        </w:rPr>
        <w:t>每年灌溉季结束后应进行一次全线冲淤，冲淤流速不应小于1.5m/s，以末端出水浊度小于1.0NTU或过流面积恢复率大于95%为合格。</w:t>
      </w:r>
    </w:p>
    <w:p w14:paraId="0B60460B">
      <w:pPr>
        <w:pStyle w:val="60"/>
        <w:numPr>
          <w:ilvl w:val="0"/>
          <w:numId w:val="12"/>
        </w:numPr>
        <w:spacing w:line="300" w:lineRule="auto"/>
        <w:ind w:left="0" w:firstLine="0"/>
        <w:rPr>
          <w:rFonts w:eastAsia="宋体" w:cs="Times New Roman"/>
        </w:rPr>
      </w:pPr>
      <w:r>
        <w:rPr>
          <w:rFonts w:eastAsia="宋体" w:cs="Times New Roman"/>
        </w:rPr>
        <w:t>淤积厚度超过管径10%时</w:t>
      </w:r>
      <w:r>
        <w:rPr>
          <w:rFonts w:ascii="Segoe UI" w:hAnsi="Segoe UI" w:eastAsia="Segoe UI" w:cs="Segoe UI"/>
          <w:color w:val="0F1115"/>
          <w:sz w:val="22"/>
          <w:shd w:val="clear" w:color="auto" w:fill="FFFFFF"/>
        </w:rPr>
        <w:t>，</w:t>
      </w:r>
      <w:r>
        <w:rPr>
          <w:rFonts w:hint="eastAsia" w:eastAsia="宋体" w:cs="Times New Roman"/>
        </w:rPr>
        <w:t>应列入年度维修计划并安排清淤作业；超过</w:t>
      </w:r>
      <w:r>
        <w:rPr>
          <w:rFonts w:eastAsia="宋体" w:cs="Times New Roman"/>
        </w:rPr>
        <w:t>15% </w:t>
      </w:r>
      <w:r>
        <w:rPr>
          <w:rFonts w:hint="eastAsia" w:eastAsia="宋体" w:cs="Times New Roman"/>
        </w:rPr>
        <w:t>时，应立即启动应急清淤程序。</w:t>
      </w:r>
      <w:r>
        <w:rPr>
          <w:rFonts w:eastAsia="宋体" w:cs="Times New Roman"/>
        </w:rPr>
        <w:t>应优先安排机械清淤，宜根据管径和淤积物性质选用牵引式刮刀、旋转钢丝刷或管道机器人等方式。清淤后应进行过流能力验证，结果记入维护档案。</w:t>
      </w:r>
    </w:p>
    <w:p w14:paraId="076BD51D">
      <w:pPr>
        <w:pStyle w:val="3"/>
        <w:numPr>
          <w:ilvl w:val="0"/>
          <w:numId w:val="8"/>
        </w:numPr>
        <w:spacing w:before="0" w:beforeLines="0" w:after="0" w:afterLines="0" w:line="300" w:lineRule="auto"/>
        <w:jc w:val="both"/>
        <w:rPr>
          <w:rFonts w:hint="eastAsia" w:cs="Times New Roman"/>
        </w:rPr>
      </w:pPr>
      <w:bookmarkStart w:id="74" w:name="_Toc234402377"/>
      <w:r>
        <w:rPr>
          <w:rFonts w:cs="Times New Roman"/>
        </w:rPr>
        <w:t>结构位移调控</w:t>
      </w:r>
      <w:bookmarkEnd w:id="74"/>
    </w:p>
    <w:p w14:paraId="4EDB6717">
      <w:pPr>
        <w:pStyle w:val="60"/>
        <w:numPr>
          <w:ilvl w:val="0"/>
          <w:numId w:val="13"/>
        </w:numPr>
        <w:spacing w:line="300" w:lineRule="auto"/>
        <w:ind w:left="0" w:firstLine="0"/>
      </w:pPr>
      <w:r>
        <w:t>应通过控制管道压力波动和流速突变，减少水锤冲击荷载对管道稳定性的影响。在管道转弯处、三通处及地质不稳定段，应设置柔性接口、伸缩节或支墩等防位移措施。</w:t>
      </w:r>
    </w:p>
    <w:p w14:paraId="520EC7FA">
      <w:pPr>
        <w:pStyle w:val="60"/>
        <w:numPr>
          <w:ilvl w:val="0"/>
          <w:numId w:val="13"/>
        </w:numPr>
        <w:spacing w:line="300" w:lineRule="auto"/>
        <w:ind w:left="0" w:firstLine="0"/>
      </w:pPr>
      <w:r>
        <w:t>季节性冻胀区域，灌溉季结束后应排空非运行管段积水，或保持管内水流持续流动（流速不低于0.3 m/s）。管道穿越断层或软土段应加密位移监测，根据各监测点土质条件分别设定位移报警阈值。</w:t>
      </w:r>
    </w:p>
    <w:p w14:paraId="1C1AADDF">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75" w:name="_Toc199133607"/>
      <w:bookmarkEnd w:id="75"/>
      <w:bookmarkStart w:id="76" w:name="_Toc199133609"/>
      <w:bookmarkEnd w:id="76"/>
      <w:bookmarkStart w:id="77" w:name="_Toc199133668"/>
      <w:bookmarkEnd w:id="77"/>
      <w:bookmarkStart w:id="78" w:name="_Toc199133666"/>
      <w:bookmarkEnd w:id="78"/>
      <w:bookmarkStart w:id="79" w:name="_Toc199133667"/>
      <w:bookmarkEnd w:id="79"/>
      <w:bookmarkStart w:id="80" w:name="_Toc199133608"/>
      <w:bookmarkEnd w:id="80"/>
      <w:bookmarkStart w:id="81" w:name="_Toc234402378"/>
      <w:r>
        <w:rPr>
          <w:rFonts w:ascii="黑体" w:hAnsi="黑体" w:cs="Times New Roman"/>
        </w:rPr>
        <w:t>安全监测</w:t>
      </w:r>
      <w:bookmarkEnd w:id="81"/>
    </w:p>
    <w:p w14:paraId="468CF4A4">
      <w:pPr>
        <w:pStyle w:val="3"/>
        <w:numPr>
          <w:ilvl w:val="0"/>
          <w:numId w:val="14"/>
        </w:numPr>
        <w:spacing w:before="0" w:beforeLines="0" w:after="0" w:afterLines="0" w:line="300" w:lineRule="auto"/>
        <w:jc w:val="both"/>
        <w:rPr>
          <w:rFonts w:hint="eastAsia" w:cs="Times New Roman"/>
        </w:rPr>
      </w:pPr>
      <w:bookmarkStart w:id="82" w:name="_Toc234402379"/>
      <w:r>
        <w:rPr>
          <w:rFonts w:cs="Times New Roman"/>
        </w:rPr>
        <w:t>一般规定</w:t>
      </w:r>
      <w:bookmarkEnd w:id="82"/>
    </w:p>
    <w:p w14:paraId="28920D00">
      <w:pPr>
        <w:pStyle w:val="26"/>
        <w:numPr>
          <w:ilvl w:val="1"/>
          <w:numId w:val="15"/>
        </w:numPr>
        <w:spacing w:line="300" w:lineRule="auto"/>
        <w:ind w:left="0" w:firstLine="0" w:firstLineChars="0"/>
        <w:rPr>
          <w:rFonts w:eastAsia="宋体" w:cs="Times New Roman"/>
        </w:rPr>
      </w:pPr>
      <w:r>
        <w:rPr>
          <w:rFonts w:eastAsia="宋体" w:cs="Times New Roman"/>
        </w:rPr>
        <w:t>安全监测应为安全调控的效果评价</w:t>
      </w:r>
      <w:r>
        <w:rPr>
          <w:rFonts w:hint="eastAsia" w:eastAsia="宋体" w:cs="Times New Roman"/>
        </w:rPr>
        <w:t>、安全调控的触发执行</w:t>
      </w:r>
      <w:r>
        <w:rPr>
          <w:rFonts w:eastAsia="宋体" w:cs="Times New Roman"/>
        </w:rPr>
        <w:t>和安全评估的风险识别提供数据支撑。监测内容应按调控对象设置压力、流量、水锤、淤积、结构位移五大类运行参数，同时监控阀门、泵站、调压设施等调控设备的运行状态。</w:t>
      </w:r>
    </w:p>
    <w:p w14:paraId="06096F2D">
      <w:pPr>
        <w:pStyle w:val="26"/>
        <w:numPr>
          <w:ilvl w:val="1"/>
          <w:numId w:val="15"/>
        </w:numPr>
        <w:spacing w:line="300" w:lineRule="auto"/>
        <w:ind w:left="0" w:firstLine="0" w:firstLineChars="0"/>
        <w:rPr>
          <w:rFonts w:eastAsia="宋体" w:cs="Times New Roman"/>
        </w:rPr>
      </w:pPr>
      <w:r>
        <w:rPr>
          <w:rFonts w:eastAsia="宋体" w:cs="Times New Roman"/>
        </w:rPr>
        <w:t>监测数据应通过在线监测设备自动采集并上传至智慧运行管理平台，实现数据集成、异常报警和趋势分析。灌溉高峰期和非灌溉期应分别确定监测频次。</w:t>
      </w:r>
    </w:p>
    <w:p w14:paraId="32FAD156">
      <w:pPr>
        <w:pStyle w:val="3"/>
        <w:numPr>
          <w:ilvl w:val="0"/>
          <w:numId w:val="14"/>
        </w:numPr>
        <w:spacing w:before="0" w:beforeLines="0" w:after="0" w:afterLines="0" w:line="300" w:lineRule="auto"/>
        <w:jc w:val="both"/>
        <w:rPr>
          <w:rFonts w:hint="eastAsia" w:cs="Times New Roman"/>
        </w:rPr>
      </w:pPr>
      <w:bookmarkStart w:id="83" w:name="_Toc234402380"/>
      <w:r>
        <w:rPr>
          <w:rFonts w:cs="Times New Roman"/>
        </w:rPr>
        <w:t>压力监测</w:t>
      </w:r>
      <w:bookmarkEnd w:id="83"/>
    </w:p>
    <w:p w14:paraId="5B3DAEBA">
      <w:pPr>
        <w:pStyle w:val="26"/>
        <w:numPr>
          <w:ilvl w:val="0"/>
          <w:numId w:val="16"/>
        </w:numPr>
        <w:spacing w:line="300" w:lineRule="auto"/>
        <w:ind w:left="0" w:firstLine="0" w:firstLineChars="0"/>
        <w:rPr>
          <w:rFonts w:eastAsia="宋体" w:cs="Times New Roman"/>
          <w:bCs/>
          <w:szCs w:val="21"/>
        </w:rPr>
      </w:pPr>
      <w:r>
        <w:rPr>
          <w:rFonts w:eastAsia="宋体" w:cs="Times New Roman"/>
          <w:bCs/>
          <w:szCs w:val="21"/>
        </w:rPr>
        <w:t>应在水源出口、管网交汇点、高程突变点、分区边界及管网末梢设置压力监测点，精度不应低于0.5级。测点布设应满足各压力调控分区的独立监测需求。</w:t>
      </w:r>
    </w:p>
    <w:p w14:paraId="6864F148">
      <w:pPr>
        <w:pStyle w:val="26"/>
        <w:numPr>
          <w:ilvl w:val="0"/>
          <w:numId w:val="16"/>
        </w:numPr>
        <w:spacing w:line="300" w:lineRule="auto"/>
        <w:ind w:left="0" w:firstLine="0" w:firstLineChars="0"/>
        <w:rPr>
          <w:rFonts w:eastAsia="宋体" w:cs="Times New Roman"/>
          <w:bCs/>
          <w:szCs w:val="21"/>
        </w:rPr>
      </w:pPr>
      <w:r>
        <w:rPr>
          <w:rFonts w:eastAsia="宋体" w:cs="Times New Roman"/>
          <w:bCs/>
          <w:szCs w:val="21"/>
        </w:rPr>
        <w:t>压力数据采集间隔不应大于</w:t>
      </w:r>
      <w:r>
        <w:rPr>
          <w:rFonts w:hint="eastAsia" w:eastAsia="宋体" w:cs="Times New Roman"/>
          <w:bCs/>
          <w:szCs w:val="21"/>
        </w:rPr>
        <w:t>30</w:t>
      </w:r>
      <w:r>
        <w:rPr>
          <w:rFonts w:eastAsia="宋体" w:cs="Times New Roman"/>
          <w:bCs/>
          <w:szCs w:val="21"/>
        </w:rPr>
        <w:t>min，灌溉高峰期关键测点加密至</w:t>
      </w:r>
      <w:r>
        <w:rPr>
          <w:rFonts w:hint="eastAsia" w:eastAsia="宋体" w:cs="Times New Roman"/>
          <w:bCs/>
          <w:szCs w:val="21"/>
        </w:rPr>
        <w:t>15</w:t>
      </w:r>
      <w:r>
        <w:rPr>
          <w:rFonts w:eastAsia="宋体" w:cs="Times New Roman"/>
          <w:bCs/>
          <w:szCs w:val="21"/>
        </w:rPr>
        <w:t>min。系统压力计校准间隔不应大于6个月。</w:t>
      </w:r>
    </w:p>
    <w:p w14:paraId="03893D96">
      <w:pPr>
        <w:pStyle w:val="26"/>
        <w:numPr>
          <w:ilvl w:val="0"/>
          <w:numId w:val="16"/>
        </w:numPr>
        <w:spacing w:line="300" w:lineRule="auto"/>
        <w:ind w:left="0" w:firstLine="0" w:firstLineChars="0"/>
        <w:rPr>
          <w:rFonts w:eastAsia="宋体" w:cs="Times New Roman"/>
          <w:bCs/>
          <w:szCs w:val="21"/>
        </w:rPr>
      </w:pPr>
      <w:r>
        <w:rPr>
          <w:rFonts w:eastAsia="宋体" w:cs="Times New Roman"/>
          <w:bCs/>
          <w:szCs w:val="21"/>
        </w:rPr>
        <w:t>长距离输水管道、高扬程泵站出口等水锤高风险管段应设置水锤监测装置，实时记录压力瞬变波形。</w:t>
      </w:r>
    </w:p>
    <w:p w14:paraId="430C6295">
      <w:pPr>
        <w:pStyle w:val="3"/>
        <w:numPr>
          <w:ilvl w:val="0"/>
          <w:numId w:val="14"/>
        </w:numPr>
        <w:spacing w:before="0" w:beforeLines="0" w:after="0" w:afterLines="0" w:line="300" w:lineRule="auto"/>
        <w:jc w:val="both"/>
        <w:rPr>
          <w:rFonts w:hint="eastAsia" w:cs="Times New Roman"/>
        </w:rPr>
      </w:pPr>
      <w:bookmarkStart w:id="84" w:name="_Toc234402381"/>
      <w:r>
        <w:rPr>
          <w:rFonts w:cs="Times New Roman"/>
        </w:rPr>
        <w:t>流量</w:t>
      </w:r>
      <w:r>
        <w:rPr>
          <w:rFonts w:hint="eastAsia" w:cs="Times New Roman"/>
        </w:rPr>
        <w:t>监测</w:t>
      </w:r>
      <w:bookmarkEnd w:id="84"/>
    </w:p>
    <w:p w14:paraId="4D2EC5B8">
      <w:pPr>
        <w:pStyle w:val="26"/>
        <w:numPr>
          <w:ilvl w:val="0"/>
          <w:numId w:val="17"/>
        </w:numPr>
        <w:spacing w:line="300" w:lineRule="auto"/>
        <w:ind w:left="0" w:firstLine="0" w:firstLineChars="0"/>
        <w:rPr>
          <w:rFonts w:eastAsia="宋体" w:cs="Times New Roman"/>
          <w:bCs/>
          <w:szCs w:val="21"/>
        </w:rPr>
      </w:pPr>
      <w:r>
        <w:rPr>
          <w:rFonts w:eastAsia="宋体" w:cs="Times New Roman"/>
          <w:bCs/>
          <w:szCs w:val="21"/>
        </w:rPr>
        <w:t>取水计量应符合GB/T 28714的规定。应在水源入口、分水枢纽、分区边界及主要支管末端设置流量监测点，数据采集间隔不应大于30min。流量计清洗间隔不应大于3个月。</w:t>
      </w:r>
    </w:p>
    <w:p w14:paraId="16640AA6">
      <w:pPr>
        <w:pStyle w:val="26"/>
        <w:numPr>
          <w:ilvl w:val="0"/>
          <w:numId w:val="17"/>
        </w:numPr>
        <w:spacing w:line="300" w:lineRule="auto"/>
        <w:ind w:left="0" w:firstLine="0" w:firstLineChars="0"/>
        <w:rPr>
          <w:rFonts w:eastAsia="宋体" w:cs="Times New Roman"/>
          <w:bCs/>
          <w:szCs w:val="21"/>
        </w:rPr>
      </w:pPr>
      <w:r>
        <w:rPr>
          <w:rFonts w:eastAsia="宋体" w:cs="Times New Roman"/>
          <w:bCs/>
          <w:szCs w:val="21"/>
        </w:rPr>
        <w:t>应在泵站出口、管径变化点及高含沙管段设置流速监测点，数据采集间隔不应大于30 min，与流量监测同步。</w:t>
      </w:r>
    </w:p>
    <w:p w14:paraId="16F93DE0">
      <w:pPr>
        <w:pStyle w:val="3"/>
        <w:numPr>
          <w:ilvl w:val="0"/>
          <w:numId w:val="14"/>
        </w:numPr>
        <w:spacing w:before="0" w:beforeLines="0" w:after="0" w:afterLines="0" w:line="300" w:lineRule="auto"/>
        <w:jc w:val="both"/>
        <w:rPr>
          <w:rFonts w:hint="eastAsia" w:cs="Times New Roman"/>
        </w:rPr>
      </w:pPr>
      <w:bookmarkStart w:id="85" w:name="_Toc234402382"/>
      <w:r>
        <w:rPr>
          <w:rFonts w:cs="Times New Roman"/>
        </w:rPr>
        <w:t>淤积监测</w:t>
      </w:r>
      <w:bookmarkEnd w:id="85"/>
    </w:p>
    <w:p w14:paraId="72C77D5C">
      <w:pPr>
        <w:pStyle w:val="26"/>
        <w:numPr>
          <w:ilvl w:val="0"/>
          <w:numId w:val="18"/>
        </w:numPr>
        <w:spacing w:line="300" w:lineRule="auto"/>
        <w:ind w:left="0" w:firstLine="0" w:firstLineChars="0"/>
        <w:rPr>
          <w:rFonts w:eastAsia="宋体" w:cs="Times New Roman"/>
          <w:bCs/>
          <w:szCs w:val="21"/>
        </w:rPr>
      </w:pPr>
      <w:r>
        <w:rPr>
          <w:rFonts w:eastAsia="宋体" w:cs="Times New Roman"/>
          <w:bCs/>
          <w:szCs w:val="21"/>
        </w:rPr>
        <w:t>淤积监测宜选用超声波测厚仪或在线浊度/含沙量监测仪，灌溉期每月监测一次，灌溉季结束后应进行一次全线检测。</w:t>
      </w:r>
    </w:p>
    <w:p w14:paraId="6A211B18">
      <w:pPr>
        <w:pStyle w:val="26"/>
        <w:numPr>
          <w:ilvl w:val="0"/>
          <w:numId w:val="18"/>
        </w:numPr>
        <w:spacing w:line="300" w:lineRule="auto"/>
        <w:ind w:left="0" w:firstLine="0" w:firstLineChars="0"/>
        <w:rPr>
          <w:rFonts w:eastAsia="宋体" w:cs="Times New Roman"/>
          <w:bCs/>
          <w:szCs w:val="21"/>
        </w:rPr>
      </w:pPr>
      <w:r>
        <w:rPr>
          <w:rFonts w:eastAsia="宋体" w:cs="Times New Roman"/>
          <w:bCs/>
          <w:szCs w:val="21"/>
        </w:rPr>
        <w:t>清淤作业后应进行过流能力验证，结果记入维护档案。</w:t>
      </w:r>
    </w:p>
    <w:p w14:paraId="13195E7C">
      <w:pPr>
        <w:pStyle w:val="3"/>
        <w:numPr>
          <w:ilvl w:val="0"/>
          <w:numId w:val="14"/>
        </w:numPr>
        <w:spacing w:before="0" w:beforeLines="0" w:after="0" w:afterLines="0" w:line="300" w:lineRule="auto"/>
        <w:jc w:val="both"/>
        <w:rPr>
          <w:rFonts w:hint="eastAsia" w:cs="Times New Roman"/>
        </w:rPr>
      </w:pPr>
      <w:bookmarkStart w:id="86" w:name="_Toc234402383"/>
      <w:r>
        <w:rPr>
          <w:rFonts w:cs="Times New Roman"/>
        </w:rPr>
        <w:t>结构位移监测</w:t>
      </w:r>
      <w:bookmarkEnd w:id="86"/>
    </w:p>
    <w:p w14:paraId="4F4A6AB3">
      <w:pPr>
        <w:pStyle w:val="26"/>
        <w:numPr>
          <w:ilvl w:val="0"/>
          <w:numId w:val="19"/>
        </w:numPr>
        <w:spacing w:line="300" w:lineRule="auto"/>
        <w:ind w:left="0" w:firstLine="0" w:firstLineChars="0"/>
        <w:rPr>
          <w:rFonts w:eastAsia="宋体" w:cs="Times New Roman"/>
          <w:bCs/>
          <w:szCs w:val="21"/>
        </w:rPr>
      </w:pPr>
      <w:r>
        <w:rPr>
          <w:rFonts w:eastAsia="宋体" w:cs="Times New Roman"/>
          <w:bCs/>
          <w:szCs w:val="21"/>
        </w:rPr>
        <w:t>位移监测点应布设在管道穿越断层或软土段、管线转弯处、与道路交叉点及地质不稳定区，监测水平位移和竖向沉降。</w:t>
      </w:r>
    </w:p>
    <w:p w14:paraId="74EC42F2">
      <w:pPr>
        <w:pStyle w:val="26"/>
        <w:numPr>
          <w:ilvl w:val="0"/>
          <w:numId w:val="19"/>
        </w:numPr>
        <w:spacing w:line="300" w:lineRule="auto"/>
        <w:ind w:left="0" w:firstLine="0" w:firstLineChars="0"/>
        <w:rPr>
          <w:rFonts w:eastAsia="宋体" w:cs="Times New Roman"/>
          <w:bCs/>
          <w:szCs w:val="21"/>
        </w:rPr>
      </w:pPr>
      <w:r>
        <w:rPr>
          <w:rFonts w:eastAsia="宋体" w:cs="Times New Roman"/>
          <w:bCs/>
          <w:szCs w:val="21"/>
        </w:rPr>
        <w:t>结构位移监测的测点布设、观测方法、仪器精度及数据整编应符合SL 725的相关规定。</w:t>
      </w:r>
      <w:r>
        <w:rPr>
          <w:rFonts w:eastAsia="宋体" w:cs="Times New Roman"/>
          <w:bCs/>
          <w:szCs w:val="21"/>
        </w:rPr>
        <w:t>季节性冻胀区域应在冻融期加密监测频次。</w:t>
      </w:r>
    </w:p>
    <w:p w14:paraId="26D129AA">
      <w:pPr>
        <w:pStyle w:val="3"/>
        <w:numPr>
          <w:ilvl w:val="0"/>
          <w:numId w:val="14"/>
        </w:numPr>
        <w:spacing w:before="0" w:beforeLines="0" w:after="0" w:afterLines="0" w:line="300" w:lineRule="auto"/>
        <w:jc w:val="both"/>
        <w:rPr>
          <w:rFonts w:hint="eastAsia" w:cs="Times New Roman"/>
        </w:rPr>
      </w:pPr>
      <w:bookmarkStart w:id="87" w:name="_Toc234402384"/>
      <w:r>
        <w:rPr>
          <w:rFonts w:cs="Times New Roman"/>
        </w:rPr>
        <w:t>调控设备运行监测</w:t>
      </w:r>
      <w:bookmarkEnd w:id="87"/>
    </w:p>
    <w:p w14:paraId="41381A07">
      <w:pPr>
        <w:pStyle w:val="26"/>
        <w:numPr>
          <w:ilvl w:val="0"/>
          <w:numId w:val="20"/>
        </w:numPr>
        <w:spacing w:line="300" w:lineRule="auto"/>
        <w:ind w:left="0" w:firstLine="0" w:firstLineChars="0"/>
      </w:pPr>
      <w:r>
        <w:t>泵站、调压设施、</w:t>
      </w:r>
      <w:r>
        <w:rPr>
          <w:rFonts w:eastAsia="宋体" w:cs="Times New Roman"/>
          <w:bCs/>
          <w:szCs w:val="21"/>
        </w:rPr>
        <w:t>重要</w:t>
      </w:r>
      <w:r>
        <w:t>阀门井及穿越道路或河道的关键管段等区域应设置视频监控装置，对设施外部环境、人员出入及施工活动进行实时监视。视频监控图像应实时传输至智慧运行管理平台，图像保存期限不应少于30 d。</w:t>
      </w:r>
    </w:p>
    <w:p w14:paraId="204B4C05">
      <w:pPr>
        <w:pStyle w:val="26"/>
        <w:numPr>
          <w:ilvl w:val="0"/>
          <w:numId w:val="20"/>
        </w:numPr>
        <w:spacing w:line="300" w:lineRule="auto"/>
        <w:ind w:left="0" w:firstLine="0" w:firstLineChars="0"/>
        <w:rPr>
          <w:rFonts w:eastAsia="宋体" w:cs="Times New Roman"/>
          <w:bCs/>
          <w:szCs w:val="21"/>
        </w:rPr>
      </w:pPr>
      <w:r>
        <w:rPr>
          <w:rFonts w:eastAsia="宋体" w:cs="Times New Roman"/>
          <w:bCs/>
          <w:szCs w:val="21"/>
        </w:rPr>
        <w:t>泵站机组应监测振动、温度、润滑状态及运行电流。变频装置应监测输出频率和电压稳定性。</w:t>
      </w:r>
    </w:p>
    <w:p w14:paraId="03B02E9E">
      <w:pPr>
        <w:pStyle w:val="26"/>
        <w:numPr>
          <w:ilvl w:val="0"/>
          <w:numId w:val="20"/>
        </w:numPr>
        <w:spacing w:line="300" w:lineRule="auto"/>
        <w:ind w:left="0" w:firstLine="0" w:firstLineChars="0"/>
        <w:rPr>
          <w:rFonts w:eastAsia="宋体" w:cs="Times New Roman"/>
          <w:bCs/>
          <w:szCs w:val="21"/>
        </w:rPr>
      </w:pPr>
      <w:r>
        <w:rPr>
          <w:rFonts w:eastAsia="宋体" w:cs="Times New Roman"/>
          <w:bCs/>
          <w:szCs w:val="21"/>
        </w:rPr>
        <w:t>阀门监测应符合下列要求：</w:t>
      </w:r>
    </w:p>
    <w:p w14:paraId="18F90BDD">
      <w:pPr>
        <w:spacing w:line="300" w:lineRule="auto"/>
        <w:ind w:left="440" w:firstLine="0" w:firstLineChars="0"/>
        <w:rPr>
          <w:rFonts w:eastAsia="宋体" w:cs="Times New Roman"/>
          <w:bCs/>
          <w:szCs w:val="21"/>
        </w:rPr>
      </w:pPr>
      <w:r>
        <w:rPr>
          <w:rFonts w:eastAsia="宋体" w:cs="Times New Roman"/>
          <w:bCs/>
          <w:szCs w:val="21"/>
        </w:rPr>
        <w:t>a) 电动阀门应实时监测电机电流、温升、启闭时间及累计操作次数，配置开度反馈传感器，远程控制响应时间不应大于30s；</w:t>
      </w:r>
    </w:p>
    <w:p w14:paraId="2548D40F">
      <w:pPr>
        <w:spacing w:line="300" w:lineRule="auto"/>
        <w:ind w:left="440" w:firstLine="0" w:firstLineChars="0"/>
        <w:rPr>
          <w:rFonts w:eastAsia="宋体" w:cs="Times New Roman"/>
          <w:bCs/>
          <w:szCs w:val="21"/>
        </w:rPr>
      </w:pPr>
      <w:r>
        <w:rPr>
          <w:rFonts w:eastAsia="宋体" w:cs="Times New Roman"/>
          <w:bCs/>
          <w:szCs w:val="21"/>
        </w:rPr>
        <w:t>b) 液压阀门应监测油压波动范围</w:t>
      </w:r>
      <w:r>
        <w:rPr>
          <w:rFonts w:hint="eastAsia" w:eastAsia="宋体" w:cs="Times New Roman"/>
          <w:bCs/>
          <w:szCs w:val="21"/>
        </w:rPr>
        <w:t>和</w:t>
      </w:r>
      <w:r>
        <w:rPr>
          <w:rFonts w:eastAsia="宋体" w:cs="Times New Roman"/>
          <w:bCs/>
          <w:szCs w:val="21"/>
        </w:rPr>
        <w:t>液压油污染度</w:t>
      </w:r>
      <w:bookmarkStart w:id="88" w:name="OLE_LINK5"/>
      <w:r>
        <w:rPr>
          <w:rFonts w:eastAsia="宋体" w:cs="Times New Roman"/>
          <w:bCs/>
          <w:szCs w:val="21"/>
        </w:rPr>
        <w:t>NAS等级</w:t>
      </w:r>
      <w:bookmarkEnd w:id="88"/>
      <w:r>
        <w:rPr>
          <w:rFonts w:eastAsia="宋体" w:cs="Times New Roman"/>
          <w:bCs/>
          <w:szCs w:val="21"/>
        </w:rPr>
        <w:t>；</w:t>
      </w:r>
    </w:p>
    <w:p w14:paraId="75FC14D2">
      <w:pPr>
        <w:spacing w:line="300" w:lineRule="auto"/>
        <w:ind w:left="440" w:firstLine="0" w:firstLineChars="0"/>
        <w:rPr>
          <w:rFonts w:eastAsia="宋体" w:cs="Times New Roman"/>
          <w:bCs/>
          <w:szCs w:val="21"/>
        </w:rPr>
      </w:pPr>
      <w:r>
        <w:rPr>
          <w:rFonts w:eastAsia="宋体" w:cs="Times New Roman"/>
          <w:bCs/>
          <w:szCs w:val="21"/>
        </w:rPr>
        <w:t>c) 手动阀门应每季度进行一次启闭扭矩测试和丝杆润滑保养；</w:t>
      </w:r>
    </w:p>
    <w:p w14:paraId="62B7A02B">
      <w:pPr>
        <w:spacing w:line="300" w:lineRule="auto"/>
        <w:ind w:left="440" w:firstLine="0" w:firstLineChars="0"/>
        <w:rPr>
          <w:rFonts w:eastAsia="宋体" w:cs="Times New Roman"/>
          <w:bCs/>
          <w:szCs w:val="21"/>
        </w:rPr>
      </w:pPr>
      <w:r>
        <w:rPr>
          <w:rFonts w:eastAsia="宋体" w:cs="Times New Roman"/>
          <w:bCs/>
          <w:szCs w:val="21"/>
        </w:rPr>
        <w:t>d) 阀门密封性检查间隔不应大于30d。</w:t>
      </w:r>
    </w:p>
    <w:p w14:paraId="39887068">
      <w:pPr>
        <w:pStyle w:val="26"/>
        <w:numPr>
          <w:ilvl w:val="0"/>
          <w:numId w:val="20"/>
        </w:numPr>
        <w:spacing w:line="300" w:lineRule="auto"/>
        <w:ind w:left="0" w:firstLine="0" w:firstLineChars="0"/>
        <w:rPr>
          <w:rFonts w:eastAsia="宋体" w:cs="Times New Roman"/>
          <w:bCs/>
          <w:szCs w:val="21"/>
        </w:rPr>
      </w:pPr>
      <w:r>
        <w:rPr>
          <w:rFonts w:eastAsia="宋体" w:cs="Times New Roman"/>
          <w:bCs/>
          <w:szCs w:val="21"/>
        </w:rPr>
        <w:t>调压阀/减压阀应监测阀前压力、阀后压力及阀门开度。</w:t>
      </w:r>
    </w:p>
    <w:p w14:paraId="424D1701">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89" w:name="_Toc234402385"/>
      <w:bookmarkStart w:id="90" w:name="OLE_LINK18"/>
      <w:r>
        <w:rPr>
          <w:rFonts w:ascii="黑体" w:hAnsi="黑体" w:cs="Times New Roman"/>
        </w:rPr>
        <w:t>安全评估</w:t>
      </w:r>
      <w:bookmarkEnd w:id="89"/>
    </w:p>
    <w:bookmarkEnd w:id="90"/>
    <w:p w14:paraId="2278574F">
      <w:pPr>
        <w:pStyle w:val="3"/>
        <w:numPr>
          <w:ilvl w:val="0"/>
          <w:numId w:val="21"/>
        </w:numPr>
        <w:spacing w:before="0" w:beforeLines="0" w:after="0" w:afterLines="0" w:line="300" w:lineRule="auto"/>
        <w:ind w:left="0" w:firstLine="0"/>
        <w:jc w:val="both"/>
        <w:rPr>
          <w:rFonts w:ascii="Times New Roman" w:hAnsi="Times New Roman" w:cs="Times New Roman"/>
        </w:rPr>
      </w:pPr>
      <w:bookmarkStart w:id="91" w:name="_Toc234402386"/>
      <w:r>
        <w:rPr>
          <w:rFonts w:ascii="Times New Roman" w:hAnsi="Times New Roman" w:cs="Times New Roman"/>
        </w:rPr>
        <w:t>一般规定</w:t>
      </w:r>
      <w:bookmarkEnd w:id="91"/>
    </w:p>
    <w:p w14:paraId="7DBA3249">
      <w:pPr>
        <w:pStyle w:val="26"/>
        <w:numPr>
          <w:ilvl w:val="0"/>
          <w:numId w:val="22"/>
        </w:numPr>
        <w:spacing w:line="300" w:lineRule="auto"/>
        <w:ind w:left="0" w:firstLine="0" w:firstLineChars="0"/>
        <w:rPr>
          <w:rFonts w:eastAsia="宋体" w:cs="Times New Roman"/>
          <w:bCs/>
          <w:szCs w:val="21"/>
        </w:rPr>
      </w:pPr>
      <w:r>
        <w:rPr>
          <w:rFonts w:eastAsia="宋体" w:cs="Times New Roman"/>
          <w:bCs/>
          <w:szCs w:val="21"/>
        </w:rPr>
        <w:t>大型灌溉管网应建立安全评估与风险预警制度，定期研判管网运行状态，识别结构安全、水力安全及运行管理等方面的风险。</w:t>
      </w:r>
    </w:p>
    <w:p w14:paraId="6B280A63">
      <w:pPr>
        <w:pStyle w:val="26"/>
        <w:numPr>
          <w:ilvl w:val="0"/>
          <w:numId w:val="22"/>
        </w:numPr>
        <w:spacing w:line="300" w:lineRule="auto"/>
        <w:ind w:left="0" w:firstLine="0" w:firstLineChars="0"/>
        <w:rPr>
          <w:rFonts w:eastAsia="宋体" w:cs="Times New Roman"/>
          <w:bCs/>
          <w:szCs w:val="21"/>
        </w:rPr>
      </w:pPr>
      <w:r>
        <w:rPr>
          <w:rFonts w:eastAsia="宋体" w:cs="Times New Roman"/>
          <w:bCs/>
          <w:szCs w:val="21"/>
        </w:rPr>
        <w:t>安全评估分为以下三类：</w:t>
      </w:r>
    </w:p>
    <w:p w14:paraId="7A235925">
      <w:pPr>
        <w:pStyle w:val="26"/>
        <w:numPr>
          <w:ilvl w:val="0"/>
          <w:numId w:val="23"/>
        </w:numPr>
        <w:spacing w:line="300" w:lineRule="auto"/>
        <w:ind w:left="442" w:firstLine="0" w:firstLineChars="0"/>
        <w:rPr>
          <w:rFonts w:eastAsia="宋体" w:cs="Times New Roman"/>
          <w:bCs/>
          <w:szCs w:val="21"/>
        </w:rPr>
      </w:pPr>
      <w:r>
        <w:rPr>
          <w:rFonts w:eastAsia="宋体" w:cs="Times New Roman"/>
          <w:bCs/>
          <w:szCs w:val="21"/>
        </w:rPr>
        <w:t>日常评估：结合在线监测数据和日常巡检记录，每季度生成《管网健康状态报告》，识别运行参数异常趋势；</w:t>
      </w:r>
    </w:p>
    <w:p w14:paraId="391FD0E9">
      <w:pPr>
        <w:pStyle w:val="26"/>
        <w:numPr>
          <w:ilvl w:val="0"/>
          <w:numId w:val="23"/>
        </w:numPr>
        <w:spacing w:line="300" w:lineRule="auto"/>
        <w:ind w:left="442" w:firstLine="0" w:firstLineChars="0"/>
        <w:rPr>
          <w:rFonts w:eastAsia="宋体" w:cs="Times New Roman"/>
          <w:bCs/>
          <w:szCs w:val="21"/>
        </w:rPr>
      </w:pPr>
      <w:r>
        <w:rPr>
          <w:rFonts w:eastAsia="宋体" w:cs="Times New Roman"/>
          <w:bCs/>
          <w:szCs w:val="21"/>
        </w:rPr>
        <w:t>定期评估：每年灌溉季结束后进行一次全面评估，涵盖管道结构安全、泄漏风险和淤积风险；</w:t>
      </w:r>
    </w:p>
    <w:p w14:paraId="149E46D9">
      <w:pPr>
        <w:pStyle w:val="26"/>
        <w:numPr>
          <w:ilvl w:val="0"/>
          <w:numId w:val="23"/>
        </w:numPr>
        <w:spacing w:line="300" w:lineRule="auto"/>
        <w:ind w:left="442" w:firstLine="0" w:firstLineChars="0"/>
        <w:rPr>
          <w:rFonts w:eastAsia="宋体" w:cs="Times New Roman"/>
          <w:bCs/>
          <w:szCs w:val="21"/>
        </w:rPr>
      </w:pPr>
      <w:r>
        <w:rPr>
          <w:rFonts w:eastAsia="宋体" w:cs="Times New Roman"/>
          <w:bCs/>
          <w:szCs w:val="21"/>
        </w:rPr>
        <w:t>专项评估：在遭遇地震、超标准洪水或重大爆管事故后15日内开展。</w:t>
      </w:r>
    </w:p>
    <w:p w14:paraId="1710C242">
      <w:pPr>
        <w:pStyle w:val="3"/>
        <w:numPr>
          <w:ilvl w:val="0"/>
          <w:numId w:val="21"/>
        </w:numPr>
        <w:spacing w:before="0" w:beforeLines="0" w:after="0" w:afterLines="0" w:line="300" w:lineRule="auto"/>
        <w:ind w:left="0" w:firstLine="0"/>
        <w:jc w:val="both"/>
        <w:rPr>
          <w:rFonts w:ascii="Times New Roman" w:hAnsi="Times New Roman" w:cs="Times New Roman"/>
        </w:rPr>
      </w:pPr>
      <w:bookmarkStart w:id="92" w:name="_Toc234402387"/>
      <w:r>
        <w:rPr>
          <w:rFonts w:ascii="Times New Roman" w:hAnsi="Times New Roman" w:cs="Times New Roman"/>
        </w:rPr>
        <w:t>评估内容</w:t>
      </w:r>
      <w:bookmarkEnd w:id="92"/>
    </w:p>
    <w:p w14:paraId="78F92621">
      <w:pPr>
        <w:pStyle w:val="26"/>
        <w:numPr>
          <w:ilvl w:val="0"/>
          <w:numId w:val="24"/>
        </w:numPr>
        <w:spacing w:line="300" w:lineRule="auto"/>
        <w:ind w:left="0" w:firstLine="0" w:firstLineChars="0"/>
        <w:rPr>
          <w:rFonts w:eastAsia="宋体" w:cs="Times New Roman"/>
          <w:bCs/>
          <w:szCs w:val="21"/>
        </w:rPr>
      </w:pPr>
      <w:r>
        <w:rPr>
          <w:rFonts w:eastAsia="宋体" w:cs="Times New Roman"/>
          <w:bCs/>
          <w:szCs w:val="21"/>
        </w:rPr>
        <w:t>安全评估应针对下列风险类别分别进行：</w:t>
      </w:r>
    </w:p>
    <w:p w14:paraId="0938BD1F">
      <w:pPr>
        <w:pStyle w:val="26"/>
        <w:numPr>
          <w:ilvl w:val="0"/>
          <w:numId w:val="25"/>
        </w:numPr>
        <w:spacing w:line="300" w:lineRule="auto"/>
        <w:ind w:left="425" w:firstLine="0" w:firstLineChars="0"/>
        <w:rPr>
          <w:rFonts w:eastAsia="宋体" w:cs="Times New Roman"/>
          <w:bCs/>
          <w:szCs w:val="21"/>
        </w:rPr>
      </w:pPr>
      <w:r>
        <w:rPr>
          <w:rFonts w:eastAsia="宋体" w:cs="Times New Roman"/>
          <w:bCs/>
          <w:szCs w:val="21"/>
        </w:rPr>
        <w:t>压力安全性评估：评估管网各分区运行压力是否处于设计工作压力范围内，压力波动幅度是否超过允许值，调压设施是否工作正常。</w:t>
      </w:r>
    </w:p>
    <w:p w14:paraId="60BC0EEC">
      <w:pPr>
        <w:pStyle w:val="26"/>
        <w:numPr>
          <w:ilvl w:val="0"/>
          <w:numId w:val="25"/>
        </w:numPr>
        <w:spacing w:line="300" w:lineRule="auto"/>
        <w:ind w:left="425" w:firstLine="0" w:firstLineChars="0"/>
        <w:rPr>
          <w:rFonts w:eastAsia="宋体" w:cs="Times New Roman"/>
          <w:bCs/>
          <w:szCs w:val="21"/>
        </w:rPr>
      </w:pPr>
      <w:r>
        <w:rPr>
          <w:rFonts w:eastAsia="宋体" w:cs="Times New Roman"/>
          <w:bCs/>
          <w:szCs w:val="21"/>
        </w:rPr>
        <w:t>流量安全性评估：评估管网流量分配是否均衡，流速是否处于安全区间</w:t>
      </w:r>
      <w:r>
        <w:rPr>
          <w:rFonts w:hint="eastAsia" w:eastAsia="宋体" w:cs="Times New Roman"/>
          <w:bCs/>
          <w:szCs w:val="21"/>
        </w:rPr>
        <w:t>；</w:t>
      </w:r>
    </w:p>
    <w:p w14:paraId="29956A93">
      <w:pPr>
        <w:pStyle w:val="26"/>
        <w:numPr>
          <w:ilvl w:val="0"/>
          <w:numId w:val="25"/>
        </w:numPr>
        <w:spacing w:line="300" w:lineRule="auto"/>
        <w:ind w:left="425" w:firstLine="0" w:firstLineChars="0"/>
        <w:rPr>
          <w:rFonts w:eastAsia="宋体" w:cs="Times New Roman"/>
          <w:bCs/>
          <w:szCs w:val="21"/>
        </w:rPr>
      </w:pPr>
      <w:r>
        <w:rPr>
          <w:rFonts w:eastAsia="宋体" w:cs="Times New Roman"/>
          <w:bCs/>
          <w:szCs w:val="21"/>
        </w:rPr>
        <w:t>水锤安全性评估：评估水锤防护设施是否有效，历史水锤事件是否超过设计允许值</w:t>
      </w:r>
      <w:r>
        <w:rPr>
          <w:rFonts w:hint="eastAsia" w:eastAsia="宋体" w:cs="Times New Roman"/>
          <w:bCs/>
          <w:szCs w:val="21"/>
        </w:rPr>
        <w:t>；</w:t>
      </w:r>
    </w:p>
    <w:p w14:paraId="64264006">
      <w:pPr>
        <w:pStyle w:val="26"/>
        <w:numPr>
          <w:ilvl w:val="0"/>
          <w:numId w:val="25"/>
        </w:numPr>
        <w:spacing w:line="300" w:lineRule="auto"/>
        <w:ind w:left="425" w:firstLine="0" w:firstLineChars="0"/>
        <w:rPr>
          <w:rFonts w:eastAsia="宋体" w:cs="Times New Roman"/>
          <w:bCs/>
          <w:szCs w:val="21"/>
        </w:rPr>
      </w:pPr>
      <w:r>
        <w:rPr>
          <w:rFonts w:eastAsia="宋体" w:cs="Times New Roman"/>
          <w:bCs/>
          <w:szCs w:val="21"/>
        </w:rPr>
        <w:t>淤积风险评估：评估管道过流面积损失程度、淤积速率及发展趋势，判断是否影响输水能力</w:t>
      </w:r>
      <w:r>
        <w:rPr>
          <w:rFonts w:hint="eastAsia" w:eastAsia="宋体" w:cs="Times New Roman"/>
          <w:bCs/>
          <w:szCs w:val="21"/>
        </w:rPr>
        <w:t>；</w:t>
      </w:r>
    </w:p>
    <w:p w14:paraId="2A730FFB">
      <w:pPr>
        <w:pStyle w:val="26"/>
        <w:numPr>
          <w:ilvl w:val="0"/>
          <w:numId w:val="25"/>
        </w:numPr>
        <w:spacing w:line="300" w:lineRule="auto"/>
        <w:ind w:left="425" w:firstLine="0" w:firstLineChars="0"/>
        <w:rPr>
          <w:rFonts w:eastAsia="宋体" w:cs="Times New Roman"/>
          <w:bCs/>
          <w:szCs w:val="21"/>
        </w:rPr>
      </w:pPr>
      <w:r>
        <w:rPr>
          <w:rFonts w:eastAsia="宋体" w:cs="Times New Roman"/>
          <w:bCs/>
          <w:szCs w:val="21"/>
        </w:rPr>
        <w:t>结构安全性评估：评估管道位移、沉降及变形是否超出允许范围，管道接口密封性是否完好，地质条件变化对管道安全的影响。涉及泵站主体结构、机电设备及金属结构的安全鉴定时，应按SL/T 316的规定执行。</w:t>
      </w:r>
    </w:p>
    <w:p w14:paraId="1B38D5F2">
      <w:pPr>
        <w:pStyle w:val="26"/>
        <w:numPr>
          <w:ilvl w:val="0"/>
          <w:numId w:val="24"/>
        </w:numPr>
        <w:spacing w:line="300" w:lineRule="auto"/>
        <w:ind w:left="0" w:firstLine="0" w:firstLineChars="0"/>
        <w:rPr>
          <w:rFonts w:eastAsia="宋体" w:cs="Times New Roman"/>
          <w:bCs/>
          <w:szCs w:val="21"/>
        </w:rPr>
      </w:pPr>
      <w:r>
        <w:rPr>
          <w:rFonts w:eastAsia="宋体" w:cs="Times New Roman"/>
          <w:bCs/>
          <w:szCs w:val="21"/>
        </w:rPr>
        <w:t>评估应以在线监测数据为主要依据，辅以人工巡检记录、历史事故统计及现场检测成果（如管道壁厚检测、防腐层检测等）。</w:t>
      </w:r>
      <w:bookmarkStart w:id="107" w:name="_GoBack"/>
      <w:bookmarkEnd w:id="107"/>
    </w:p>
    <w:p w14:paraId="6E745C82">
      <w:pPr>
        <w:pStyle w:val="3"/>
        <w:numPr>
          <w:ilvl w:val="0"/>
          <w:numId w:val="21"/>
        </w:numPr>
        <w:spacing w:before="0" w:beforeLines="0" w:after="0" w:afterLines="0" w:line="300" w:lineRule="auto"/>
        <w:ind w:left="0" w:firstLine="0"/>
        <w:jc w:val="both"/>
        <w:rPr>
          <w:rFonts w:ascii="Times New Roman" w:hAnsi="Times New Roman" w:cs="Times New Roman"/>
        </w:rPr>
      </w:pPr>
      <w:bookmarkStart w:id="93" w:name="_Toc234402388"/>
      <w:r>
        <w:rPr>
          <w:rFonts w:ascii="Times New Roman" w:hAnsi="Times New Roman" w:cs="Times New Roman"/>
        </w:rPr>
        <w:t>评估方法</w:t>
      </w:r>
      <w:bookmarkEnd w:id="93"/>
    </w:p>
    <w:p w14:paraId="010DDEE4">
      <w:pPr>
        <w:pStyle w:val="26"/>
        <w:numPr>
          <w:ilvl w:val="0"/>
          <w:numId w:val="26"/>
        </w:numPr>
        <w:spacing w:line="300" w:lineRule="auto"/>
        <w:ind w:left="0" w:firstLine="0" w:firstLineChars="0"/>
        <w:rPr>
          <w:rFonts w:eastAsia="宋体" w:cs="Times New Roman"/>
          <w:bCs/>
          <w:szCs w:val="21"/>
        </w:rPr>
      </w:pPr>
      <w:r>
        <w:rPr>
          <w:rFonts w:eastAsia="宋体" w:cs="Times New Roman"/>
          <w:bCs/>
          <w:szCs w:val="21"/>
        </w:rPr>
        <w:t>安全评估应采用多色评价理论进行风险维度分类，将各风险类别按严重程度划分为红、橙、黄、蓝四色等级：</w:t>
      </w:r>
    </w:p>
    <w:p w14:paraId="0C2C8774">
      <w:pPr>
        <w:pStyle w:val="26"/>
        <w:numPr>
          <w:ilvl w:val="0"/>
          <w:numId w:val="27"/>
        </w:numPr>
        <w:spacing w:line="300" w:lineRule="auto"/>
        <w:ind w:left="442" w:firstLine="0" w:firstLineChars="0"/>
        <w:rPr>
          <w:rFonts w:eastAsia="宋体" w:cs="Times New Roman"/>
          <w:bCs/>
          <w:szCs w:val="21"/>
        </w:rPr>
      </w:pPr>
      <w:r>
        <w:rPr>
          <w:rFonts w:eastAsia="宋体" w:cs="Times New Roman"/>
          <w:bCs/>
          <w:szCs w:val="21"/>
        </w:rPr>
        <w:t>红色风险：参数严重超限，管道处于危险状态，随时可能发生安全事故；</w:t>
      </w:r>
    </w:p>
    <w:p w14:paraId="23553094">
      <w:pPr>
        <w:pStyle w:val="26"/>
        <w:numPr>
          <w:ilvl w:val="0"/>
          <w:numId w:val="27"/>
        </w:numPr>
        <w:spacing w:line="300" w:lineRule="auto"/>
        <w:ind w:left="442" w:firstLine="0" w:firstLineChars="0"/>
        <w:rPr>
          <w:rFonts w:eastAsia="宋体" w:cs="Times New Roman"/>
          <w:bCs/>
          <w:szCs w:val="21"/>
        </w:rPr>
      </w:pPr>
      <w:r>
        <w:rPr>
          <w:rFonts w:eastAsia="宋体" w:cs="Times New Roman"/>
          <w:bCs/>
          <w:szCs w:val="21"/>
        </w:rPr>
        <w:t>橙色风险：参数明显超限，管道存在显著劣化或病害，近期可能发生风险事件；</w:t>
      </w:r>
    </w:p>
    <w:p w14:paraId="16356F07">
      <w:pPr>
        <w:pStyle w:val="26"/>
        <w:numPr>
          <w:ilvl w:val="0"/>
          <w:numId w:val="27"/>
        </w:numPr>
        <w:spacing w:line="300" w:lineRule="auto"/>
        <w:ind w:left="442" w:firstLine="0" w:firstLineChars="0"/>
        <w:rPr>
          <w:rFonts w:eastAsia="宋体" w:cs="Times New Roman"/>
          <w:bCs/>
          <w:szCs w:val="21"/>
        </w:rPr>
      </w:pPr>
      <w:r>
        <w:rPr>
          <w:rFonts w:eastAsia="宋体" w:cs="Times New Roman"/>
          <w:bCs/>
          <w:szCs w:val="21"/>
        </w:rPr>
        <w:t>黄色风险：参数轻微超限或劣化趋势明显，可能影响长期运行安全；</w:t>
      </w:r>
    </w:p>
    <w:p w14:paraId="1AF125CA">
      <w:pPr>
        <w:pStyle w:val="26"/>
        <w:numPr>
          <w:ilvl w:val="0"/>
          <w:numId w:val="27"/>
        </w:numPr>
        <w:spacing w:line="300" w:lineRule="auto"/>
        <w:ind w:left="442" w:firstLine="0" w:firstLineChars="0"/>
        <w:rPr>
          <w:rFonts w:eastAsia="宋体" w:cs="Times New Roman"/>
          <w:bCs/>
          <w:szCs w:val="21"/>
        </w:rPr>
      </w:pPr>
      <w:r>
        <w:rPr>
          <w:rFonts w:eastAsia="宋体" w:cs="Times New Roman"/>
          <w:bCs/>
          <w:szCs w:val="21"/>
        </w:rPr>
        <w:t>蓝色风险：参数正常，管道处于安全状态。</w:t>
      </w:r>
    </w:p>
    <w:p w14:paraId="30438818">
      <w:pPr>
        <w:pStyle w:val="26"/>
        <w:numPr>
          <w:ilvl w:val="0"/>
          <w:numId w:val="26"/>
        </w:numPr>
        <w:spacing w:line="300" w:lineRule="auto"/>
        <w:ind w:left="0" w:firstLine="0" w:firstLineChars="0"/>
        <w:rPr>
          <w:rFonts w:eastAsia="宋体" w:cs="Times New Roman"/>
          <w:bCs/>
          <w:szCs w:val="21"/>
        </w:rPr>
      </w:pPr>
      <w:r>
        <w:rPr>
          <w:rFonts w:eastAsia="宋体" w:cs="Times New Roman"/>
          <w:bCs/>
          <w:szCs w:val="21"/>
        </w:rPr>
        <w:t>各类风险的具体评估指标和定色标准见附录A</w:t>
      </w:r>
      <w:r>
        <w:rPr>
          <w:rFonts w:hint="eastAsia" w:eastAsia="宋体" w:cs="Times New Roman"/>
          <w:bCs/>
          <w:szCs w:val="21"/>
        </w:rPr>
        <w:t>（规范性附录）。</w:t>
      </w:r>
      <w:r>
        <w:rPr>
          <w:rFonts w:eastAsia="宋体" w:cs="Times New Roman"/>
          <w:bCs/>
          <w:szCs w:val="21"/>
        </w:rPr>
        <w:t>综合风险等级按各类风险中最不利等级确定。当同时存在多项黄色及以上风险时，应综合研判是否提级管理。</w:t>
      </w:r>
    </w:p>
    <w:p w14:paraId="29C8CA6A">
      <w:pPr>
        <w:pStyle w:val="3"/>
        <w:numPr>
          <w:ilvl w:val="0"/>
          <w:numId w:val="21"/>
        </w:numPr>
        <w:spacing w:before="0" w:beforeLines="0" w:after="0" w:afterLines="0" w:line="300" w:lineRule="auto"/>
        <w:ind w:left="0" w:firstLine="0"/>
        <w:jc w:val="both"/>
        <w:rPr>
          <w:rFonts w:ascii="Times New Roman" w:hAnsi="Times New Roman" w:cs="Times New Roman"/>
        </w:rPr>
      </w:pPr>
      <w:bookmarkStart w:id="94" w:name="_Toc234402389"/>
      <w:r>
        <w:rPr>
          <w:rFonts w:ascii="Times New Roman" w:hAnsi="Times New Roman" w:cs="Times New Roman"/>
        </w:rPr>
        <w:t>预警响应</w:t>
      </w:r>
      <w:bookmarkEnd w:id="94"/>
    </w:p>
    <w:p w14:paraId="1709FD7E">
      <w:pPr>
        <w:pStyle w:val="26"/>
        <w:numPr>
          <w:ilvl w:val="0"/>
          <w:numId w:val="28"/>
        </w:numPr>
        <w:spacing w:line="300" w:lineRule="auto"/>
        <w:ind w:left="0" w:firstLine="0" w:firstLineChars="0"/>
        <w:rPr>
          <w:rFonts w:eastAsia="宋体" w:cs="Times New Roman"/>
        </w:rPr>
      </w:pPr>
      <w:r>
        <w:rPr>
          <w:rFonts w:eastAsia="宋体" w:cs="Times New Roman"/>
          <w:shd w:val="clear" w:color="auto" w:fill="FFFFFF"/>
        </w:rPr>
        <w:t>依据综合风险评估等级，预警级别与调控措施联动，响应措施按表</w:t>
      </w:r>
      <w:r>
        <w:rPr>
          <w:rFonts w:hint="eastAsia" w:eastAsia="宋体" w:cs="Times New Roman"/>
          <w:shd w:val="clear" w:color="auto" w:fill="FFFFFF"/>
        </w:rPr>
        <w:t>1</w:t>
      </w:r>
      <w:r>
        <w:rPr>
          <w:rFonts w:eastAsia="宋体" w:cs="Times New Roman"/>
          <w:shd w:val="clear" w:color="auto" w:fill="FFFFFF"/>
        </w:rPr>
        <w:t>执行。</w:t>
      </w:r>
    </w:p>
    <w:p w14:paraId="754E96B6">
      <w:pPr>
        <w:pStyle w:val="29"/>
        <w:rPr>
          <w:rFonts w:hint="eastAsia"/>
        </w:rPr>
      </w:pPr>
      <w:r>
        <w:rPr>
          <w:shd w:val="clear" w:color="auto" w:fill="FFFFFF"/>
        </w:rPr>
        <w:t>表</w:t>
      </w:r>
      <w:r>
        <w:rPr>
          <w:rFonts w:hint="eastAsia"/>
          <w:shd w:val="clear" w:color="auto" w:fill="FFFFFF"/>
        </w:rPr>
        <w:t>1</w:t>
      </w:r>
      <w:r>
        <w:rPr>
          <w:shd w:val="clear" w:color="auto" w:fill="FFFFFF"/>
        </w:rPr>
        <w:t xml:space="preserve"> 预警响应措施</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29"/>
        <w:gridCol w:w="2127"/>
        <w:gridCol w:w="5040"/>
      </w:tblGrid>
      <w:tr w14:paraId="7BC1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129" w:type="dxa"/>
            <w:tcMar>
              <w:top w:w="150" w:type="dxa"/>
              <w:left w:w="0" w:type="dxa"/>
              <w:bottom w:w="150" w:type="dxa"/>
              <w:right w:w="240" w:type="dxa"/>
            </w:tcMar>
            <w:vAlign w:val="center"/>
          </w:tcPr>
          <w:p w14:paraId="62F8B4B2">
            <w:pPr>
              <w:pStyle w:val="30"/>
            </w:pPr>
            <w:r>
              <w:t>预警等级</w:t>
            </w:r>
          </w:p>
        </w:tc>
        <w:tc>
          <w:tcPr>
            <w:tcW w:w="2127" w:type="dxa"/>
            <w:tcMar>
              <w:top w:w="150" w:type="dxa"/>
              <w:left w:w="240" w:type="dxa"/>
              <w:bottom w:w="150" w:type="dxa"/>
              <w:right w:w="240" w:type="dxa"/>
            </w:tcMar>
            <w:vAlign w:val="center"/>
          </w:tcPr>
          <w:p w14:paraId="7A38FA89">
            <w:pPr>
              <w:pStyle w:val="30"/>
            </w:pPr>
            <w:r>
              <w:t>风险状态</w:t>
            </w:r>
          </w:p>
        </w:tc>
        <w:tc>
          <w:tcPr>
            <w:tcW w:w="5040" w:type="dxa"/>
            <w:tcMar>
              <w:top w:w="150" w:type="dxa"/>
              <w:left w:w="240" w:type="dxa"/>
              <w:bottom w:w="150" w:type="dxa"/>
              <w:right w:w="240" w:type="dxa"/>
            </w:tcMar>
            <w:vAlign w:val="center"/>
          </w:tcPr>
          <w:p w14:paraId="76F04CDB">
            <w:pPr>
              <w:pStyle w:val="30"/>
            </w:pPr>
            <w:r>
              <w:t>响应措施</w:t>
            </w:r>
          </w:p>
        </w:tc>
      </w:tr>
      <w:tr w14:paraId="4FDB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29" w:type="dxa"/>
            <w:tcMar>
              <w:top w:w="150" w:type="dxa"/>
              <w:left w:w="0" w:type="dxa"/>
              <w:bottom w:w="150" w:type="dxa"/>
              <w:right w:w="240" w:type="dxa"/>
            </w:tcMar>
            <w:vAlign w:val="center"/>
          </w:tcPr>
          <w:p w14:paraId="469CA396">
            <w:pPr>
              <w:pStyle w:val="30"/>
            </w:pPr>
            <w:r>
              <w:t>红色</w:t>
            </w:r>
          </w:p>
        </w:tc>
        <w:tc>
          <w:tcPr>
            <w:tcW w:w="2127" w:type="dxa"/>
            <w:tcMar>
              <w:top w:w="150" w:type="dxa"/>
              <w:left w:w="240" w:type="dxa"/>
              <w:bottom w:w="150" w:type="dxa"/>
              <w:right w:w="240" w:type="dxa"/>
            </w:tcMar>
            <w:vAlign w:val="center"/>
          </w:tcPr>
          <w:p w14:paraId="023C91EE">
            <w:pPr>
              <w:pStyle w:val="30"/>
            </w:pPr>
            <w:r>
              <w:t>结构失稳或爆管风险极高</w:t>
            </w:r>
          </w:p>
        </w:tc>
        <w:tc>
          <w:tcPr>
            <w:tcW w:w="5040" w:type="dxa"/>
            <w:tcMar>
              <w:top w:w="150" w:type="dxa"/>
              <w:left w:w="240" w:type="dxa"/>
              <w:bottom w:w="150" w:type="dxa"/>
              <w:right w:w="0" w:type="dxa"/>
            </w:tcMar>
            <w:vAlign w:val="center"/>
          </w:tcPr>
          <w:p w14:paraId="68B7022B">
            <w:pPr>
              <w:pStyle w:val="30"/>
            </w:pPr>
            <w:r>
              <w:t>1. 立即切断事故管段水源，全线停运检修；2. 启动应急预案；3. 24h内完成专项评估</w:t>
            </w:r>
          </w:p>
        </w:tc>
      </w:tr>
      <w:tr w14:paraId="77C0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29" w:type="dxa"/>
            <w:tcMar>
              <w:top w:w="150" w:type="dxa"/>
              <w:left w:w="0" w:type="dxa"/>
              <w:bottom w:w="150" w:type="dxa"/>
              <w:right w:w="240" w:type="dxa"/>
            </w:tcMar>
            <w:vAlign w:val="center"/>
          </w:tcPr>
          <w:p w14:paraId="2381051C">
            <w:pPr>
              <w:pStyle w:val="30"/>
            </w:pPr>
            <w:r>
              <w:t>橙色</w:t>
            </w:r>
          </w:p>
        </w:tc>
        <w:tc>
          <w:tcPr>
            <w:tcW w:w="2127" w:type="dxa"/>
            <w:tcMar>
              <w:top w:w="150" w:type="dxa"/>
              <w:left w:w="240" w:type="dxa"/>
              <w:bottom w:w="150" w:type="dxa"/>
              <w:right w:w="240" w:type="dxa"/>
            </w:tcMar>
            <w:vAlign w:val="center"/>
          </w:tcPr>
          <w:p w14:paraId="27ADC2DD">
            <w:pPr>
              <w:pStyle w:val="30"/>
            </w:pPr>
            <w:r>
              <w:t>显著劣化，近期可能发生风险事件</w:t>
            </w:r>
          </w:p>
        </w:tc>
        <w:tc>
          <w:tcPr>
            <w:tcW w:w="5040" w:type="dxa"/>
            <w:tcMar>
              <w:top w:w="150" w:type="dxa"/>
              <w:left w:w="240" w:type="dxa"/>
              <w:bottom w:w="150" w:type="dxa"/>
              <w:right w:w="0" w:type="dxa"/>
            </w:tcMar>
            <w:vAlign w:val="center"/>
          </w:tcPr>
          <w:p w14:paraId="50195AE5">
            <w:pPr>
              <w:pStyle w:val="30"/>
            </w:pPr>
            <w:r>
              <w:t>1. 降低事故管段压力至设计值的70%；2. 启动详细评估，15日内完成维修方案；3. 调整调度方案</w:t>
            </w:r>
          </w:p>
        </w:tc>
      </w:tr>
      <w:tr w14:paraId="28EB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29" w:type="dxa"/>
            <w:tcMar>
              <w:top w:w="150" w:type="dxa"/>
              <w:left w:w="0" w:type="dxa"/>
              <w:bottom w:w="150" w:type="dxa"/>
              <w:right w:w="240" w:type="dxa"/>
            </w:tcMar>
            <w:vAlign w:val="center"/>
          </w:tcPr>
          <w:p w14:paraId="3FAC8DE5">
            <w:pPr>
              <w:pStyle w:val="30"/>
            </w:pPr>
            <w:r>
              <w:t>黄色</w:t>
            </w:r>
          </w:p>
        </w:tc>
        <w:tc>
          <w:tcPr>
            <w:tcW w:w="2127" w:type="dxa"/>
            <w:tcMar>
              <w:top w:w="150" w:type="dxa"/>
              <w:left w:w="240" w:type="dxa"/>
              <w:bottom w:w="150" w:type="dxa"/>
              <w:right w:w="240" w:type="dxa"/>
            </w:tcMar>
            <w:vAlign w:val="center"/>
          </w:tcPr>
          <w:p w14:paraId="59CC5771">
            <w:pPr>
              <w:pStyle w:val="30"/>
            </w:pPr>
            <w:r>
              <w:t>劣化趋势明显</w:t>
            </w:r>
          </w:p>
        </w:tc>
        <w:tc>
          <w:tcPr>
            <w:tcW w:w="5040" w:type="dxa"/>
            <w:tcMar>
              <w:top w:w="150" w:type="dxa"/>
              <w:left w:w="240" w:type="dxa"/>
              <w:bottom w:w="150" w:type="dxa"/>
              <w:right w:w="0" w:type="dxa"/>
            </w:tcMar>
            <w:vAlign w:val="center"/>
          </w:tcPr>
          <w:p w14:paraId="0F436E4F">
            <w:pPr>
              <w:pStyle w:val="30"/>
            </w:pPr>
            <w:r>
              <w:t>1. 监测频次提升至每日4次；2. 列入年度维修计划，30日内完成整改；3. 优化调控策略</w:t>
            </w:r>
          </w:p>
        </w:tc>
      </w:tr>
    </w:tbl>
    <w:p w14:paraId="6DD4CDB0">
      <w:pPr>
        <w:pStyle w:val="26"/>
        <w:numPr>
          <w:ilvl w:val="0"/>
          <w:numId w:val="28"/>
        </w:numPr>
        <w:spacing w:line="300" w:lineRule="auto"/>
        <w:ind w:left="0" w:firstLine="0" w:firstLineChars="0"/>
        <w:rPr>
          <w:rFonts w:eastAsia="宋体" w:cs="Times New Roman"/>
          <w:shd w:val="clear" w:color="auto" w:fill="FFFFFF"/>
        </w:rPr>
      </w:pPr>
      <w:r>
        <w:rPr>
          <w:rFonts w:eastAsia="宋体" w:cs="Times New Roman"/>
          <w:shd w:val="clear" w:color="auto" w:fill="FFFFFF"/>
        </w:rPr>
        <w:t>评估报告应包含风险分布图、评估过程、预警建议等内容，存档期限不应少于15年。</w:t>
      </w:r>
    </w:p>
    <w:p w14:paraId="17E3DB3E">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95" w:name="_Toc234402390"/>
      <w:r>
        <w:rPr>
          <w:rFonts w:ascii="黑体" w:hAnsi="黑体" w:cs="Times New Roman"/>
        </w:rPr>
        <w:t>应急处理</w:t>
      </w:r>
      <w:bookmarkEnd w:id="95"/>
    </w:p>
    <w:p w14:paraId="1B5E8835">
      <w:pPr>
        <w:pStyle w:val="3"/>
        <w:numPr>
          <w:ilvl w:val="0"/>
          <w:numId w:val="29"/>
        </w:numPr>
        <w:spacing w:before="0" w:beforeLines="0" w:after="0" w:afterLines="0" w:line="300" w:lineRule="auto"/>
        <w:ind w:left="0" w:firstLine="0"/>
        <w:jc w:val="both"/>
        <w:rPr>
          <w:rFonts w:ascii="Times New Roman" w:hAnsi="Times New Roman" w:cs="Times New Roman"/>
        </w:rPr>
      </w:pPr>
      <w:bookmarkStart w:id="96" w:name="_Toc234402391"/>
      <w:r>
        <w:rPr>
          <w:rFonts w:ascii="Times New Roman" w:hAnsi="Times New Roman" w:cs="Times New Roman"/>
        </w:rPr>
        <w:t>一般规定</w:t>
      </w:r>
      <w:bookmarkEnd w:id="96"/>
    </w:p>
    <w:p w14:paraId="149C12F4">
      <w:pPr>
        <w:pStyle w:val="26"/>
        <w:numPr>
          <w:ilvl w:val="1"/>
          <w:numId w:val="30"/>
        </w:numPr>
        <w:spacing w:line="300" w:lineRule="auto"/>
        <w:ind w:left="0" w:firstLine="0" w:firstLineChars="0"/>
        <w:rPr>
          <w:shd w:val="clear" w:color="auto" w:fill="FFFFFF"/>
        </w:rPr>
      </w:pPr>
      <w:r>
        <w:rPr>
          <w:shd w:val="clear" w:color="auto" w:fill="FFFFFF"/>
        </w:rPr>
        <w:t>应编制管网安全运行突发事件应急预案，明确各类事件的处置流程、责任部门和分级响应机制，并纳入工程管理单位总体应急预案。</w:t>
      </w:r>
    </w:p>
    <w:p w14:paraId="428FC8DF">
      <w:pPr>
        <w:pStyle w:val="26"/>
        <w:numPr>
          <w:ilvl w:val="1"/>
          <w:numId w:val="30"/>
        </w:numPr>
        <w:spacing w:line="300" w:lineRule="auto"/>
        <w:ind w:left="0" w:firstLine="0" w:firstLineChars="0"/>
        <w:rPr>
          <w:shd w:val="clear" w:color="auto" w:fill="FFFFFF"/>
        </w:rPr>
      </w:pPr>
      <w:r>
        <w:rPr>
          <w:shd w:val="clear" w:color="auto" w:fill="FFFFFF"/>
        </w:rPr>
        <w:t>应急处理应遵循“快速响应、分级处置、先控后修”的原则。应急响应等级应与预警等级对应，实行分级启动</w:t>
      </w:r>
      <w:r>
        <w:rPr>
          <w:rFonts w:hint="eastAsia"/>
          <w:shd w:val="clear" w:color="auto" w:fill="FFFFFF"/>
        </w:rPr>
        <w:t>：</w:t>
      </w:r>
    </w:p>
    <w:p w14:paraId="2119EFA0">
      <w:pPr>
        <w:pStyle w:val="26"/>
        <w:numPr>
          <w:ilvl w:val="0"/>
          <w:numId w:val="31"/>
        </w:numPr>
        <w:spacing w:line="300" w:lineRule="auto"/>
        <w:ind w:hanging="14" w:firstLineChars="0"/>
        <w:rPr>
          <w:rFonts w:eastAsia="宋体" w:cs="Times New Roman"/>
          <w:bCs/>
          <w:szCs w:val="21"/>
        </w:rPr>
      </w:pPr>
      <w:r>
        <w:rPr>
          <w:rFonts w:eastAsia="宋体" w:cs="Times New Roman"/>
          <w:bCs/>
          <w:szCs w:val="21"/>
        </w:rPr>
        <w:t>一级响应（红色）：爆管、管道严重位移（水平＞10cm或沉降＞5cm）、严重水锤事故（出现负压或压升＞150%设计压力），全线或局部停运，启动应急抢险；</w:t>
      </w:r>
    </w:p>
    <w:p w14:paraId="7B0A9414">
      <w:pPr>
        <w:pStyle w:val="26"/>
        <w:numPr>
          <w:ilvl w:val="0"/>
          <w:numId w:val="31"/>
        </w:numPr>
        <w:spacing w:line="300" w:lineRule="auto"/>
        <w:ind w:hanging="14" w:firstLineChars="0"/>
        <w:rPr>
          <w:rFonts w:eastAsia="宋体" w:cs="Times New Roman"/>
          <w:bCs/>
          <w:szCs w:val="21"/>
        </w:rPr>
      </w:pPr>
      <w:r>
        <w:rPr>
          <w:rFonts w:eastAsia="宋体" w:cs="Times New Roman"/>
          <w:bCs/>
          <w:szCs w:val="21"/>
        </w:rPr>
        <w:t>二级响应（橙色）：管道中度位移（水平3～10cm）、严重淤积（＞管径15%）、持续超压运行，限时处置；</w:t>
      </w:r>
    </w:p>
    <w:p w14:paraId="5FDFC3FE">
      <w:pPr>
        <w:pStyle w:val="26"/>
        <w:numPr>
          <w:ilvl w:val="0"/>
          <w:numId w:val="31"/>
        </w:numPr>
        <w:spacing w:line="300" w:lineRule="auto"/>
        <w:ind w:hanging="14" w:firstLineChars="0"/>
        <w:rPr>
          <w:rFonts w:eastAsia="宋体" w:cs="Times New Roman"/>
          <w:bCs/>
          <w:szCs w:val="21"/>
        </w:rPr>
      </w:pPr>
      <w:r>
        <w:rPr>
          <w:rFonts w:eastAsia="宋体" w:cs="Times New Roman"/>
          <w:bCs/>
          <w:szCs w:val="21"/>
        </w:rPr>
        <w:t>三级</w:t>
      </w:r>
      <w:r>
        <w:rPr>
          <w:rFonts w:hint="eastAsia" w:eastAsia="宋体" w:cs="Times New Roman"/>
          <w:bCs/>
          <w:szCs w:val="21"/>
        </w:rPr>
        <w:t>响应</w:t>
      </w:r>
      <w:r>
        <w:rPr>
          <w:rFonts w:eastAsia="宋体" w:cs="Times New Roman"/>
          <w:bCs/>
          <w:szCs w:val="21"/>
        </w:rPr>
        <w:t>（黄色）：一般泄漏、轻微位移、压力异常波动，列入计划处置。</w:t>
      </w:r>
    </w:p>
    <w:p w14:paraId="266EC383">
      <w:pPr>
        <w:pStyle w:val="3"/>
        <w:numPr>
          <w:ilvl w:val="0"/>
          <w:numId w:val="29"/>
        </w:numPr>
        <w:spacing w:before="0" w:beforeLines="0" w:after="0" w:afterLines="0" w:line="300" w:lineRule="auto"/>
        <w:ind w:left="0" w:firstLine="0"/>
        <w:jc w:val="both"/>
        <w:rPr>
          <w:rFonts w:ascii="Times New Roman" w:hAnsi="Times New Roman" w:cs="Times New Roman"/>
        </w:rPr>
      </w:pPr>
      <w:bookmarkStart w:id="97" w:name="_Toc234402392"/>
      <w:r>
        <w:rPr>
          <w:rFonts w:ascii="Times New Roman" w:hAnsi="Times New Roman" w:cs="Times New Roman"/>
        </w:rPr>
        <w:t>压力与流量事故应急</w:t>
      </w:r>
      <w:bookmarkEnd w:id="97"/>
    </w:p>
    <w:p w14:paraId="024F4313">
      <w:pPr>
        <w:pStyle w:val="26"/>
        <w:numPr>
          <w:ilvl w:val="0"/>
          <w:numId w:val="32"/>
        </w:numPr>
        <w:spacing w:line="300" w:lineRule="auto"/>
        <w:ind w:left="0" w:firstLine="0" w:firstLineChars="0"/>
      </w:pPr>
      <w:r>
        <w:rPr>
          <w:shd w:val="clear" w:color="auto" w:fill="FFFFFF"/>
        </w:rPr>
        <w:t>管网运行压力持续超过设计工作压力上限120%时，应立即通过变频装置降低泵站出水压力或调整运行机组组合，开启超压泄放阀释放管内压力。超压无法在30 min内消除时，应关停相关管段并启动降压运行方案。</w:t>
      </w:r>
    </w:p>
    <w:p w14:paraId="35CCD225">
      <w:pPr>
        <w:pStyle w:val="26"/>
        <w:numPr>
          <w:ilvl w:val="0"/>
          <w:numId w:val="32"/>
        </w:numPr>
        <w:spacing w:line="300" w:lineRule="auto"/>
        <w:ind w:left="0" w:firstLine="0" w:firstLineChars="0"/>
      </w:pPr>
      <w:r>
        <w:t>日流量偏差超过15%且持续无法恢复时，应排查原因（泄漏、淤堵或调度不当），必要时启动分区停水排查。</w:t>
      </w:r>
    </w:p>
    <w:p w14:paraId="0DA6AFA9">
      <w:pPr>
        <w:pStyle w:val="26"/>
        <w:numPr>
          <w:ilvl w:val="0"/>
          <w:numId w:val="32"/>
        </w:numPr>
        <w:spacing w:line="300" w:lineRule="auto"/>
        <w:ind w:left="0" w:firstLine="0" w:firstLineChars="0"/>
      </w:pPr>
      <w:r>
        <w:t>发生水锤事故（管道出现负压或瞬变压升超过150%设计压力）时，应立即切断事故管段水源，检查管道是否出现结构性损伤（接口松动、管体开裂）。确认无结构损伤后方可重新升压，升压速率不应大于0.1 MPa/min。</w:t>
      </w:r>
    </w:p>
    <w:p w14:paraId="4EADA52F">
      <w:pPr>
        <w:pStyle w:val="3"/>
        <w:numPr>
          <w:ilvl w:val="0"/>
          <w:numId w:val="29"/>
        </w:numPr>
        <w:spacing w:before="0" w:beforeLines="0" w:after="0" w:afterLines="0" w:line="300" w:lineRule="auto"/>
        <w:ind w:left="0" w:firstLine="0"/>
        <w:jc w:val="both"/>
        <w:rPr>
          <w:rFonts w:ascii="Times New Roman" w:hAnsi="Times New Roman" w:cs="Times New Roman"/>
        </w:rPr>
      </w:pPr>
      <w:bookmarkStart w:id="98" w:name="_Toc234402393"/>
      <w:r>
        <w:rPr>
          <w:rFonts w:ascii="Times New Roman" w:hAnsi="Times New Roman" w:cs="Times New Roman"/>
        </w:rPr>
        <w:t>淤积事故应急</w:t>
      </w:r>
      <w:bookmarkEnd w:id="98"/>
    </w:p>
    <w:p w14:paraId="76A6DE27">
      <w:pPr>
        <w:pStyle w:val="26"/>
        <w:numPr>
          <w:ilvl w:val="1"/>
          <w:numId w:val="33"/>
        </w:numPr>
        <w:spacing w:line="300" w:lineRule="auto"/>
        <w:ind w:left="0" w:firstLine="0" w:firstLineChars="0"/>
      </w:pPr>
      <w:r>
        <w:rPr>
          <w:shd w:val="clear" w:color="auto" w:fill="FFFFFF"/>
        </w:rPr>
        <w:t>当淤积厚度超过管径15%导致过流能力严重不足时，应列为橙色响应，在72h内完成机械清淤。</w:t>
      </w:r>
    </w:p>
    <w:p w14:paraId="7AA57573">
      <w:pPr>
        <w:pStyle w:val="26"/>
        <w:numPr>
          <w:ilvl w:val="1"/>
          <w:numId w:val="33"/>
        </w:numPr>
        <w:spacing w:line="300" w:lineRule="auto"/>
        <w:ind w:left="0" w:firstLine="0" w:firstLineChars="0"/>
      </w:pPr>
      <w:r>
        <w:rPr>
          <w:shd w:val="clear" w:color="auto" w:fill="FFFFFF"/>
        </w:rPr>
        <w:t>淤积应急清除宜选用高压水射流或机械刮管方式，清除率不应小于90%。清淤后应进行水压试验验证。</w:t>
      </w:r>
    </w:p>
    <w:p w14:paraId="3897C393">
      <w:pPr>
        <w:pStyle w:val="3"/>
        <w:numPr>
          <w:ilvl w:val="0"/>
          <w:numId w:val="29"/>
        </w:numPr>
        <w:spacing w:before="0" w:beforeLines="0" w:after="0" w:afterLines="0" w:line="300" w:lineRule="auto"/>
        <w:ind w:left="0" w:firstLine="0"/>
        <w:jc w:val="both"/>
        <w:rPr>
          <w:rFonts w:ascii="Times New Roman" w:hAnsi="Times New Roman" w:cs="Times New Roman"/>
        </w:rPr>
      </w:pPr>
      <w:bookmarkStart w:id="99" w:name="_Toc234402394"/>
      <w:r>
        <w:rPr>
          <w:rFonts w:ascii="Times New Roman" w:hAnsi="Times New Roman" w:cs="Times New Roman"/>
        </w:rPr>
        <w:t>结构位移与爆管事故应急</w:t>
      </w:r>
      <w:bookmarkEnd w:id="99"/>
    </w:p>
    <w:p w14:paraId="3136AF8D">
      <w:pPr>
        <w:pStyle w:val="26"/>
        <w:numPr>
          <w:ilvl w:val="1"/>
          <w:numId w:val="34"/>
        </w:numPr>
        <w:spacing w:line="300" w:lineRule="auto"/>
        <w:ind w:left="0" w:firstLine="0" w:firstLineChars="0"/>
      </w:pPr>
      <w:r>
        <w:rPr>
          <w:shd w:val="clear" w:color="auto" w:fill="FFFFFF"/>
        </w:rPr>
        <w:t>管道位移达到红色等级时，按表</w:t>
      </w:r>
      <w:r>
        <w:rPr>
          <w:rFonts w:hint="eastAsia"/>
          <w:shd w:val="clear" w:color="auto" w:fill="FFFFFF"/>
        </w:rPr>
        <w:t>2</w:t>
      </w:r>
      <w:r>
        <w:rPr>
          <w:shd w:val="clear" w:color="auto" w:fill="FFFFFF"/>
        </w:rPr>
        <w:t>执行应急修复。</w:t>
      </w:r>
    </w:p>
    <w:p w14:paraId="19F98333">
      <w:pPr>
        <w:pStyle w:val="29"/>
        <w:spacing w:line="300" w:lineRule="auto"/>
        <w:rPr>
          <w:rFonts w:hint="eastAsia"/>
        </w:rPr>
      </w:pPr>
      <w:r>
        <w:rPr>
          <w:shd w:val="clear" w:color="auto" w:fill="FFFFFF"/>
        </w:rPr>
        <w:t>表</w:t>
      </w:r>
      <w:r>
        <w:rPr>
          <w:rFonts w:hint="eastAsia"/>
          <w:shd w:val="clear" w:color="auto" w:fill="FFFFFF"/>
        </w:rPr>
        <w:t>2</w:t>
      </w:r>
      <w:r>
        <w:rPr>
          <w:shd w:val="clear" w:color="auto" w:fill="FFFFFF"/>
        </w:rPr>
        <w:t xml:space="preserve"> 管道位移应急修复</w:t>
      </w:r>
    </w:p>
    <w:tbl>
      <w:tblPr>
        <w:tblStyle w:val="16"/>
        <w:tblW w:w="8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71"/>
        <w:gridCol w:w="2663"/>
        <w:gridCol w:w="4333"/>
      </w:tblGrid>
      <w:tr w14:paraId="461F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1" w:hRule="atLeast"/>
          <w:tblHeader/>
          <w:jc w:val="center"/>
        </w:trPr>
        <w:tc>
          <w:tcPr>
            <w:tcW w:w="1271" w:type="dxa"/>
            <w:tcMar>
              <w:top w:w="150" w:type="dxa"/>
              <w:left w:w="0" w:type="dxa"/>
              <w:bottom w:w="150" w:type="dxa"/>
              <w:right w:w="240" w:type="dxa"/>
            </w:tcMar>
            <w:vAlign w:val="center"/>
          </w:tcPr>
          <w:p w14:paraId="142B003D">
            <w:pPr>
              <w:pStyle w:val="30"/>
              <w:rPr>
                <w:szCs w:val="21"/>
              </w:rPr>
            </w:pPr>
            <w:r>
              <w:rPr>
                <w:rFonts w:hint="eastAsia"/>
                <w:szCs w:val="21"/>
              </w:rPr>
              <w:t>位</w:t>
            </w:r>
            <w:r>
              <w:rPr>
                <w:szCs w:val="21"/>
              </w:rPr>
              <w:t>移等级</w:t>
            </w:r>
          </w:p>
        </w:tc>
        <w:tc>
          <w:tcPr>
            <w:tcW w:w="2663" w:type="dxa"/>
            <w:tcMar>
              <w:top w:w="150" w:type="dxa"/>
              <w:left w:w="240" w:type="dxa"/>
              <w:bottom w:w="150" w:type="dxa"/>
              <w:right w:w="240" w:type="dxa"/>
            </w:tcMar>
            <w:vAlign w:val="center"/>
          </w:tcPr>
          <w:p w14:paraId="50B4ED4A">
            <w:pPr>
              <w:pStyle w:val="30"/>
              <w:rPr>
                <w:szCs w:val="21"/>
              </w:rPr>
            </w:pPr>
            <w:r>
              <w:rPr>
                <w:szCs w:val="21"/>
              </w:rPr>
              <w:t>判定标准</w:t>
            </w:r>
          </w:p>
        </w:tc>
        <w:tc>
          <w:tcPr>
            <w:tcW w:w="0" w:type="auto"/>
            <w:tcMar>
              <w:top w:w="150" w:type="dxa"/>
              <w:left w:w="240" w:type="dxa"/>
              <w:bottom w:w="150" w:type="dxa"/>
              <w:right w:w="240" w:type="dxa"/>
            </w:tcMar>
            <w:vAlign w:val="center"/>
          </w:tcPr>
          <w:p w14:paraId="48001483">
            <w:pPr>
              <w:pStyle w:val="30"/>
              <w:rPr>
                <w:szCs w:val="21"/>
              </w:rPr>
            </w:pPr>
            <w:r>
              <w:rPr>
                <w:szCs w:val="21"/>
              </w:rPr>
              <w:t>处理措施</w:t>
            </w:r>
          </w:p>
        </w:tc>
      </w:tr>
      <w:tr w14:paraId="5ACC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jc w:val="center"/>
        </w:trPr>
        <w:tc>
          <w:tcPr>
            <w:tcW w:w="1271" w:type="dxa"/>
            <w:tcMar>
              <w:top w:w="150" w:type="dxa"/>
              <w:left w:w="0" w:type="dxa"/>
              <w:bottom w:w="150" w:type="dxa"/>
              <w:right w:w="240" w:type="dxa"/>
            </w:tcMar>
            <w:vAlign w:val="center"/>
          </w:tcPr>
          <w:p w14:paraId="4AAC5462">
            <w:pPr>
              <w:pStyle w:val="30"/>
              <w:rPr>
                <w:szCs w:val="21"/>
              </w:rPr>
            </w:pPr>
            <w:r>
              <w:rPr>
                <w:rFonts w:hint="eastAsia"/>
                <w:szCs w:val="21"/>
              </w:rPr>
              <w:t>红色（严重）</w:t>
            </w:r>
          </w:p>
        </w:tc>
        <w:tc>
          <w:tcPr>
            <w:tcW w:w="2663" w:type="dxa"/>
            <w:tcMar>
              <w:top w:w="150" w:type="dxa"/>
              <w:left w:w="240" w:type="dxa"/>
              <w:bottom w:w="150" w:type="dxa"/>
              <w:right w:w="240" w:type="dxa"/>
            </w:tcMar>
            <w:vAlign w:val="center"/>
          </w:tcPr>
          <w:p w14:paraId="502E1169">
            <w:pPr>
              <w:pStyle w:val="30"/>
              <w:rPr>
                <w:szCs w:val="21"/>
              </w:rPr>
            </w:pPr>
            <w:r>
              <w:rPr>
                <w:rFonts w:hint="eastAsia"/>
                <w:szCs w:val="21"/>
              </w:rPr>
              <w:t>水平＞</w:t>
            </w:r>
            <w:r>
              <w:rPr>
                <w:szCs w:val="21"/>
              </w:rPr>
              <w:t>10cm</w:t>
            </w:r>
            <w:r>
              <w:rPr>
                <w:rFonts w:hint="eastAsia"/>
                <w:szCs w:val="21"/>
              </w:rPr>
              <w:t>，沉降＞</w:t>
            </w:r>
            <w:r>
              <w:rPr>
                <w:szCs w:val="21"/>
              </w:rPr>
              <w:t>5cm</w:t>
            </w:r>
            <w:r>
              <w:rPr>
                <w:rFonts w:hint="eastAsia"/>
                <w:szCs w:val="21"/>
              </w:rPr>
              <w:t>或接口脱开</w:t>
            </w:r>
          </w:p>
        </w:tc>
        <w:tc>
          <w:tcPr>
            <w:tcW w:w="0" w:type="auto"/>
            <w:tcMar>
              <w:top w:w="150" w:type="dxa"/>
              <w:left w:w="240" w:type="dxa"/>
              <w:bottom w:w="150" w:type="dxa"/>
              <w:right w:w="0" w:type="dxa"/>
            </w:tcMar>
            <w:vAlign w:val="center"/>
          </w:tcPr>
          <w:p w14:paraId="125ED2DF">
            <w:pPr>
              <w:pStyle w:val="30"/>
              <w:rPr>
                <w:szCs w:val="21"/>
              </w:rPr>
            </w:pPr>
            <w:r>
              <w:rPr>
                <w:rFonts w:hint="eastAsia"/>
                <w:szCs w:val="21"/>
              </w:rPr>
              <w:t>停水断管，安装哈夫节（长度</w:t>
            </w:r>
            <w:r>
              <w:rPr>
                <w:szCs w:val="21"/>
              </w:rPr>
              <w:t>≥1.5</w:t>
            </w:r>
            <w:r>
              <w:rPr>
                <w:rFonts w:hint="eastAsia"/>
                <w:szCs w:val="21"/>
              </w:rPr>
              <w:t>倍管径）或整体更换管段</w:t>
            </w:r>
          </w:p>
        </w:tc>
      </w:tr>
      <w:tr w14:paraId="6E3E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3" w:hRule="atLeast"/>
          <w:jc w:val="center"/>
        </w:trPr>
        <w:tc>
          <w:tcPr>
            <w:tcW w:w="1271" w:type="dxa"/>
            <w:tcMar>
              <w:top w:w="150" w:type="dxa"/>
              <w:left w:w="0" w:type="dxa"/>
              <w:bottom w:w="150" w:type="dxa"/>
              <w:right w:w="240" w:type="dxa"/>
            </w:tcMar>
            <w:vAlign w:val="center"/>
          </w:tcPr>
          <w:p w14:paraId="7083618D">
            <w:pPr>
              <w:pStyle w:val="30"/>
              <w:rPr>
                <w:szCs w:val="21"/>
              </w:rPr>
            </w:pPr>
            <w:r>
              <w:rPr>
                <w:rFonts w:hint="eastAsia"/>
                <w:szCs w:val="21"/>
              </w:rPr>
              <w:t>橙色（中度）</w:t>
            </w:r>
          </w:p>
        </w:tc>
        <w:tc>
          <w:tcPr>
            <w:tcW w:w="2663" w:type="dxa"/>
            <w:tcMar>
              <w:top w:w="150" w:type="dxa"/>
              <w:left w:w="240" w:type="dxa"/>
              <w:bottom w:w="150" w:type="dxa"/>
              <w:right w:w="240" w:type="dxa"/>
            </w:tcMar>
            <w:vAlign w:val="center"/>
          </w:tcPr>
          <w:p w14:paraId="7B425581">
            <w:pPr>
              <w:pStyle w:val="30"/>
              <w:rPr>
                <w:szCs w:val="21"/>
              </w:rPr>
            </w:pPr>
            <w:r>
              <w:rPr>
                <w:rFonts w:hint="eastAsia"/>
                <w:szCs w:val="21"/>
              </w:rPr>
              <w:t>水平</w:t>
            </w:r>
            <w:r>
              <w:rPr>
                <w:szCs w:val="21"/>
              </w:rPr>
              <w:t>3</w:t>
            </w:r>
            <w:r>
              <w:rPr>
                <w:rFonts w:hint="eastAsia"/>
                <w:szCs w:val="21"/>
              </w:rPr>
              <w:t>～</w:t>
            </w:r>
            <w:r>
              <w:rPr>
                <w:szCs w:val="21"/>
              </w:rPr>
              <w:t>10cm</w:t>
            </w:r>
            <w:r>
              <w:rPr>
                <w:rFonts w:hint="eastAsia"/>
                <w:szCs w:val="21"/>
              </w:rPr>
              <w:t>，沉降</w:t>
            </w:r>
            <w:r>
              <w:rPr>
                <w:szCs w:val="21"/>
              </w:rPr>
              <w:t>2</w:t>
            </w:r>
            <w:r>
              <w:rPr>
                <w:rFonts w:hint="eastAsia"/>
                <w:szCs w:val="21"/>
              </w:rPr>
              <w:t>～</w:t>
            </w:r>
            <w:r>
              <w:rPr>
                <w:szCs w:val="21"/>
              </w:rPr>
              <w:t>5cm</w:t>
            </w:r>
          </w:p>
        </w:tc>
        <w:tc>
          <w:tcPr>
            <w:tcW w:w="0" w:type="auto"/>
            <w:tcMar>
              <w:top w:w="150" w:type="dxa"/>
              <w:left w:w="240" w:type="dxa"/>
              <w:bottom w:w="150" w:type="dxa"/>
              <w:right w:w="0" w:type="dxa"/>
            </w:tcMar>
            <w:vAlign w:val="center"/>
          </w:tcPr>
          <w:p w14:paraId="3AD73CA9">
            <w:pPr>
              <w:pStyle w:val="30"/>
              <w:rPr>
                <w:szCs w:val="21"/>
              </w:rPr>
            </w:pPr>
            <w:r>
              <w:rPr>
                <w:rFonts w:hint="eastAsia"/>
                <w:szCs w:val="21"/>
              </w:rPr>
              <w:t>开挖暴露管段，重置管基（压实度</w:t>
            </w:r>
            <w:r>
              <w:rPr>
                <w:szCs w:val="21"/>
              </w:rPr>
              <w:t>≥95%</w:t>
            </w:r>
            <w:r>
              <w:rPr>
                <w:rFonts w:hint="eastAsia"/>
                <w:szCs w:val="21"/>
              </w:rPr>
              <w:t>），更换柔性接口</w:t>
            </w:r>
          </w:p>
        </w:tc>
      </w:tr>
      <w:tr w14:paraId="3933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jc w:val="center"/>
        </w:trPr>
        <w:tc>
          <w:tcPr>
            <w:tcW w:w="1271" w:type="dxa"/>
            <w:tcMar>
              <w:top w:w="150" w:type="dxa"/>
              <w:left w:w="0" w:type="dxa"/>
              <w:bottom w:w="150" w:type="dxa"/>
              <w:right w:w="240" w:type="dxa"/>
            </w:tcMar>
            <w:vAlign w:val="center"/>
          </w:tcPr>
          <w:p w14:paraId="7F9ED378">
            <w:pPr>
              <w:pStyle w:val="30"/>
              <w:rPr>
                <w:szCs w:val="21"/>
              </w:rPr>
            </w:pPr>
            <w:r>
              <w:rPr>
                <w:rFonts w:hint="eastAsia"/>
                <w:szCs w:val="21"/>
              </w:rPr>
              <w:t>黄色（轻微）</w:t>
            </w:r>
          </w:p>
        </w:tc>
        <w:tc>
          <w:tcPr>
            <w:tcW w:w="2663" w:type="dxa"/>
            <w:tcMar>
              <w:top w:w="150" w:type="dxa"/>
              <w:left w:w="240" w:type="dxa"/>
              <w:bottom w:w="150" w:type="dxa"/>
              <w:right w:w="240" w:type="dxa"/>
            </w:tcMar>
            <w:vAlign w:val="center"/>
          </w:tcPr>
          <w:p w14:paraId="0B238DD2">
            <w:pPr>
              <w:pStyle w:val="30"/>
              <w:rPr>
                <w:szCs w:val="21"/>
              </w:rPr>
            </w:pPr>
            <w:r>
              <w:rPr>
                <w:rFonts w:hint="eastAsia"/>
                <w:szCs w:val="21"/>
              </w:rPr>
              <w:t>水平</w:t>
            </w:r>
            <w:r>
              <w:rPr>
                <w:szCs w:val="21"/>
              </w:rPr>
              <w:t>≤3cm</w:t>
            </w:r>
            <w:r>
              <w:rPr>
                <w:rFonts w:hint="eastAsia"/>
                <w:szCs w:val="21"/>
              </w:rPr>
              <w:t>，沉降</w:t>
            </w:r>
            <w:r>
              <w:rPr>
                <w:szCs w:val="21"/>
              </w:rPr>
              <w:t>≤2cm</w:t>
            </w:r>
          </w:p>
        </w:tc>
        <w:tc>
          <w:tcPr>
            <w:tcW w:w="0" w:type="auto"/>
            <w:tcMar>
              <w:top w:w="150" w:type="dxa"/>
              <w:left w:w="240" w:type="dxa"/>
              <w:bottom w:w="150" w:type="dxa"/>
              <w:right w:w="0" w:type="dxa"/>
            </w:tcMar>
            <w:vAlign w:val="center"/>
          </w:tcPr>
          <w:p w14:paraId="6E046211">
            <w:pPr>
              <w:pStyle w:val="30"/>
              <w:rPr>
                <w:szCs w:val="21"/>
              </w:rPr>
            </w:pPr>
            <w:r>
              <w:rPr>
                <w:rFonts w:hint="eastAsia"/>
                <w:szCs w:val="21"/>
              </w:rPr>
              <w:t>管周注浆加固（水灰比</w:t>
            </w:r>
            <w:r>
              <w:rPr>
                <w:szCs w:val="21"/>
              </w:rPr>
              <w:t>0.6:1</w:t>
            </w:r>
            <w:r>
              <w:rPr>
                <w:rFonts w:hint="eastAsia"/>
                <w:szCs w:val="21"/>
              </w:rPr>
              <w:t>，注浆压力</w:t>
            </w:r>
            <w:r>
              <w:rPr>
                <w:szCs w:val="21"/>
              </w:rPr>
              <w:t>≤0.3MPa</w:t>
            </w:r>
            <w:r>
              <w:rPr>
                <w:rFonts w:hint="eastAsia"/>
                <w:szCs w:val="21"/>
              </w:rPr>
              <w:t>），增设钢制抱箍</w:t>
            </w:r>
          </w:p>
        </w:tc>
      </w:tr>
    </w:tbl>
    <w:p w14:paraId="76017AD9">
      <w:pPr>
        <w:pStyle w:val="26"/>
        <w:numPr>
          <w:ilvl w:val="1"/>
          <w:numId w:val="34"/>
        </w:numPr>
        <w:spacing w:line="300" w:lineRule="auto"/>
        <w:ind w:left="0" w:firstLine="0" w:firstLineChars="0"/>
        <w:rPr>
          <w:shd w:val="clear" w:color="auto" w:fill="FFFFFF"/>
        </w:rPr>
      </w:pPr>
      <w:r>
        <w:rPr>
          <w:shd w:val="clear" w:color="auto" w:fill="FFFFFF"/>
        </w:rPr>
        <w:t>爆管事故应急处理应按以下阶段实施：</w:t>
      </w:r>
    </w:p>
    <w:p w14:paraId="31D2CBDF">
      <w:pPr>
        <w:pStyle w:val="26"/>
        <w:numPr>
          <w:ilvl w:val="0"/>
          <w:numId w:val="35"/>
        </w:numPr>
        <w:spacing w:line="300" w:lineRule="auto"/>
        <w:ind w:left="425" w:firstLine="0" w:firstLineChars="0"/>
        <w:rPr>
          <w:rFonts w:eastAsia="宋体" w:cs="Times New Roman"/>
          <w:bCs/>
          <w:szCs w:val="21"/>
        </w:rPr>
      </w:pPr>
      <w:r>
        <w:rPr>
          <w:rFonts w:eastAsia="宋体" w:cs="Times New Roman"/>
          <w:bCs/>
          <w:szCs w:val="21"/>
        </w:rPr>
        <w:t>快速响应阶段（0～30min）：划定危险区（爆管点半径50m），切断电源并疏散人员；关闭上下游阀门，主干管关阀响应时间不应大于5min；爆管定位宜采用声波法或示踪剂法</w:t>
      </w:r>
      <w:r>
        <w:rPr>
          <w:rFonts w:hint="eastAsia" w:eastAsia="宋体" w:cs="Times New Roman"/>
          <w:bCs/>
          <w:szCs w:val="21"/>
        </w:rPr>
        <w:t>，定位误差应满足抢修开挖要求</w:t>
      </w:r>
      <w:r>
        <w:rPr>
          <w:rFonts w:eastAsia="宋体" w:cs="Times New Roman"/>
          <w:bCs/>
          <w:szCs w:val="21"/>
        </w:rPr>
        <w:t>。</w:t>
      </w:r>
    </w:p>
    <w:p w14:paraId="7EE3F95B">
      <w:pPr>
        <w:pStyle w:val="26"/>
        <w:numPr>
          <w:ilvl w:val="0"/>
          <w:numId w:val="35"/>
        </w:numPr>
        <w:spacing w:line="300" w:lineRule="auto"/>
        <w:ind w:left="425" w:firstLine="0" w:firstLineChars="0"/>
        <w:rPr>
          <w:rFonts w:eastAsia="宋体" w:cs="Times New Roman"/>
          <w:bCs/>
          <w:szCs w:val="21"/>
        </w:rPr>
      </w:pPr>
      <w:r>
        <w:rPr>
          <w:rFonts w:eastAsia="宋体" w:cs="Times New Roman"/>
          <w:bCs/>
          <w:szCs w:val="21"/>
        </w:rPr>
        <w:t>抢修实施阶段（30min～24h）：DN≤600mm的混凝土/钢管宜采用哈夫节快速修复，；DN＞600mm钢管宜采用套管焊接修复。</w:t>
      </w:r>
    </w:p>
    <w:p w14:paraId="0AE225FA">
      <w:pPr>
        <w:pStyle w:val="26"/>
        <w:numPr>
          <w:ilvl w:val="0"/>
          <w:numId w:val="35"/>
        </w:numPr>
        <w:spacing w:line="300" w:lineRule="auto"/>
        <w:ind w:left="425" w:firstLine="0" w:firstLineChars="0"/>
        <w:rPr>
          <w:rFonts w:eastAsia="宋体" w:cs="Times New Roman"/>
          <w:bCs/>
          <w:szCs w:val="21"/>
        </w:rPr>
      </w:pPr>
      <w:r>
        <w:rPr>
          <w:rFonts w:eastAsia="宋体" w:cs="Times New Roman"/>
          <w:bCs/>
          <w:szCs w:val="21"/>
        </w:rPr>
        <w:t>系统恢复阶段：修复完成后应进行水压试验（1.25倍工作压力，30min压降≤0.05MPa），合格后阶梯式升压恢复供水（每级0.1MPa，间隔10min），监测振动值及接口渗漏量。</w:t>
      </w:r>
    </w:p>
    <w:p w14:paraId="20D79C7F">
      <w:pPr>
        <w:pStyle w:val="3"/>
        <w:numPr>
          <w:ilvl w:val="0"/>
          <w:numId w:val="29"/>
        </w:numPr>
        <w:spacing w:before="0" w:beforeLines="0" w:after="0" w:afterLines="0" w:line="300" w:lineRule="auto"/>
        <w:ind w:left="0" w:firstLine="0"/>
        <w:jc w:val="both"/>
        <w:rPr>
          <w:rFonts w:ascii="Times New Roman" w:hAnsi="Times New Roman" w:cs="Times New Roman"/>
        </w:rPr>
      </w:pPr>
      <w:bookmarkStart w:id="100" w:name="_Toc234402395"/>
      <w:r>
        <w:rPr>
          <w:rFonts w:ascii="Times New Roman" w:hAnsi="Times New Roman" w:cs="Times New Roman"/>
        </w:rPr>
        <w:t>应急保障与善后</w:t>
      </w:r>
      <w:bookmarkEnd w:id="100"/>
    </w:p>
    <w:p w14:paraId="0A9B8237">
      <w:pPr>
        <w:numPr>
          <w:ilvl w:val="0"/>
          <w:numId w:val="36"/>
        </w:numPr>
        <w:spacing w:line="300" w:lineRule="auto"/>
        <w:ind w:left="0" w:firstLine="0" w:firstLineChars="0"/>
        <w:rPr>
          <w:shd w:val="clear" w:color="auto" w:fill="FFFFFF"/>
        </w:rPr>
      </w:pPr>
      <w:r>
        <w:rPr>
          <w:shd w:val="clear" w:color="auto" w:fill="FFFFFF"/>
        </w:rPr>
        <w:t>应配备24h应急抢修队伍，储备必要的抢修器材、管材管件和机具。应急物资应建立台账并定期检查更新。</w:t>
      </w:r>
    </w:p>
    <w:p w14:paraId="0ADF35CD">
      <w:pPr>
        <w:numPr>
          <w:ilvl w:val="0"/>
          <w:numId w:val="36"/>
        </w:numPr>
        <w:spacing w:line="300" w:lineRule="auto"/>
        <w:ind w:left="0" w:firstLine="0" w:firstLineChars="0"/>
        <w:rPr>
          <w:shd w:val="clear" w:color="auto" w:fill="FFFFFF"/>
        </w:rPr>
      </w:pPr>
      <w:r>
        <w:rPr>
          <w:shd w:val="clear" w:color="auto" w:fill="FFFFFF"/>
        </w:rPr>
        <w:t>每年灌溉季前应组织一次应急演练，检验预案可操作性和物资储备有效性。</w:t>
      </w:r>
    </w:p>
    <w:p w14:paraId="301FA754">
      <w:pPr>
        <w:numPr>
          <w:ilvl w:val="0"/>
          <w:numId w:val="36"/>
        </w:numPr>
        <w:spacing w:line="300" w:lineRule="auto"/>
        <w:ind w:left="0" w:firstLine="0" w:firstLineChars="0"/>
        <w:rPr>
          <w:shd w:val="clear" w:color="auto" w:fill="FFFFFF"/>
        </w:rPr>
      </w:pPr>
      <w:r>
        <w:rPr>
          <w:shd w:val="clear" w:color="auto" w:fill="FFFFFF"/>
        </w:rPr>
        <w:t>应急处置完毕后，应进行善后处置和原因分析。红色响应事件应编制评估整改报告，分析事故原因，提出防范措施，存档期限不应少于15年。</w:t>
      </w:r>
    </w:p>
    <w:p w14:paraId="496321A6">
      <w:pPr>
        <w:pStyle w:val="2"/>
        <w:numPr>
          <w:ilvl w:val="0"/>
          <w:numId w:val="2"/>
        </w:numPr>
        <w:spacing w:before="156" w:beforeLines="50" w:after="156" w:afterLines="50" w:line="300" w:lineRule="auto"/>
        <w:ind w:left="442" w:hanging="442"/>
        <w:jc w:val="both"/>
        <w:rPr>
          <w:rFonts w:hint="eastAsia" w:ascii="黑体" w:hAnsi="黑体" w:cs="Times New Roman"/>
        </w:rPr>
      </w:pPr>
      <w:bookmarkStart w:id="101" w:name="_Toc234402396"/>
      <w:r>
        <w:rPr>
          <w:rFonts w:ascii="黑体" w:hAnsi="黑体" w:cs="Times New Roman"/>
        </w:rPr>
        <w:t>信息管理</w:t>
      </w:r>
      <w:bookmarkEnd w:id="101"/>
    </w:p>
    <w:p w14:paraId="7B0EB8DD">
      <w:pPr>
        <w:pStyle w:val="26"/>
        <w:numPr>
          <w:ilvl w:val="1"/>
          <w:numId w:val="37"/>
        </w:numPr>
        <w:spacing w:line="300" w:lineRule="auto"/>
        <w:ind w:left="0" w:firstLine="0" w:firstLineChars="0"/>
        <w:rPr>
          <w:shd w:val="clear" w:color="auto" w:fill="FFFFFF"/>
        </w:rPr>
      </w:pPr>
      <w:bookmarkStart w:id="102" w:name="_Toc199133690"/>
      <w:bookmarkEnd w:id="102"/>
      <w:bookmarkStart w:id="103" w:name="_Toc199133632"/>
      <w:bookmarkEnd w:id="103"/>
      <w:bookmarkStart w:id="104" w:name="_Toc199133633"/>
      <w:bookmarkEnd w:id="104"/>
      <w:bookmarkStart w:id="105" w:name="_Toc199133691"/>
      <w:bookmarkEnd w:id="105"/>
      <w:r>
        <w:rPr>
          <w:shd w:val="clear" w:color="auto" w:fill="FFFFFF"/>
        </w:rPr>
        <w:t>管网信息管理应包括工程规划、设计、施工、竣工验收资料，各管段及附属设施基础信息，运行监测数据，事故处理记录及运行维护管理信息等。</w:t>
      </w:r>
    </w:p>
    <w:p w14:paraId="54765759">
      <w:pPr>
        <w:pStyle w:val="26"/>
        <w:numPr>
          <w:ilvl w:val="1"/>
          <w:numId w:val="37"/>
        </w:numPr>
        <w:spacing w:line="300" w:lineRule="auto"/>
        <w:ind w:left="0" w:firstLine="0" w:firstLineChars="0"/>
        <w:rPr>
          <w:shd w:val="clear" w:color="auto" w:fill="FFFFFF"/>
        </w:rPr>
      </w:pPr>
      <w:r>
        <w:rPr>
          <w:shd w:val="clear" w:color="auto" w:fill="FFFFFF"/>
        </w:rPr>
        <w:t>竣工资料的编制应符合GB/T 50328的规定，电子文件的归档与管理应符合GB/T 18894的规定</w:t>
      </w:r>
      <w:r>
        <w:rPr>
          <w:rFonts w:hint="eastAsia"/>
          <w:shd w:val="clear" w:color="auto" w:fill="FFFFFF"/>
        </w:rPr>
        <w:t>，</w:t>
      </w:r>
      <w:r>
        <w:rPr>
          <w:shd w:val="clear" w:color="auto" w:fill="FFFFFF"/>
        </w:rPr>
        <w:t>坐标、高程等测量成果应满足相关勘测管理部门要求。</w:t>
      </w:r>
    </w:p>
    <w:p w14:paraId="17872D7D">
      <w:pPr>
        <w:pStyle w:val="26"/>
        <w:numPr>
          <w:ilvl w:val="1"/>
          <w:numId w:val="37"/>
        </w:numPr>
        <w:spacing w:line="300" w:lineRule="auto"/>
        <w:ind w:left="0" w:firstLine="0" w:firstLineChars="0"/>
        <w:rPr>
          <w:shd w:val="clear" w:color="auto" w:fill="FFFFFF"/>
        </w:rPr>
      </w:pPr>
      <w:r>
        <w:rPr>
          <w:shd w:val="clear" w:color="auto" w:fill="FFFFFF"/>
        </w:rPr>
        <w:t>应建立管网地理信息系统（GIS），记录管网所在区域的地形地貌、管道坐标、阀门、监测设备等图形及属性数据，并根据管网动态变化及时更新。</w:t>
      </w:r>
    </w:p>
    <w:p w14:paraId="37E8CBEF">
      <w:pPr>
        <w:pStyle w:val="26"/>
        <w:numPr>
          <w:ilvl w:val="1"/>
          <w:numId w:val="37"/>
        </w:numPr>
        <w:spacing w:line="300" w:lineRule="auto"/>
        <w:ind w:left="0" w:firstLine="0" w:firstLineChars="0"/>
        <w:rPr>
          <w:shd w:val="clear" w:color="auto" w:fill="FFFFFF"/>
        </w:rPr>
      </w:pPr>
      <w:r>
        <w:rPr>
          <w:shd w:val="clear" w:color="auto" w:fill="FFFFFF"/>
        </w:rPr>
        <w:t>应建立管网运行数据采集系统，对压力、流量、阀门开度、设备运行状态及大用户用水变化等数据进行采集。所有数据应自动上传至智慧运行管理平台。</w:t>
      </w:r>
    </w:p>
    <w:p w14:paraId="6B636B33">
      <w:pPr>
        <w:pStyle w:val="26"/>
        <w:numPr>
          <w:ilvl w:val="1"/>
          <w:numId w:val="37"/>
        </w:numPr>
        <w:spacing w:line="300" w:lineRule="auto"/>
        <w:ind w:left="0" w:firstLine="0" w:firstLineChars="0"/>
        <w:rPr>
          <w:shd w:val="clear" w:color="auto" w:fill="FFFFFF"/>
        </w:rPr>
      </w:pPr>
      <w:r>
        <w:rPr>
          <w:shd w:val="clear" w:color="auto" w:fill="FFFFFF"/>
        </w:rPr>
        <w:t>在拆除、新建和改建管道时，应建立资产管理台账，标注管道名称、起止地点、设备设施的规格、材质和数量等。</w:t>
      </w:r>
    </w:p>
    <w:p w14:paraId="6014660E">
      <w:pPr>
        <w:pStyle w:val="26"/>
        <w:numPr>
          <w:ilvl w:val="1"/>
          <w:numId w:val="37"/>
        </w:numPr>
        <w:spacing w:line="300" w:lineRule="auto"/>
        <w:ind w:left="0" w:firstLine="0" w:firstLineChars="0"/>
        <w:rPr>
          <w:shd w:val="clear" w:color="auto" w:fill="FFFFFF"/>
        </w:rPr>
      </w:pPr>
      <w:r>
        <w:rPr>
          <w:shd w:val="clear" w:color="auto" w:fill="FFFFFF"/>
        </w:rPr>
        <w:t>监测数据应保存不少于3年，评估报告和事故处理报告应保存不少于15年。</w:t>
      </w:r>
      <w:bookmarkEnd w:id="26"/>
      <w:r>
        <w:rPr>
          <w:rFonts w:hint="eastAsia"/>
          <w:shd w:val="clear" w:color="auto" w:fill="FFFFFF"/>
        </w:rPr>
        <w:t>关键数据实时备份至异地，备份保存期限同原始数据。</w:t>
      </w:r>
    </w:p>
    <w:p w14:paraId="099C21E6">
      <w:pPr>
        <w:pStyle w:val="26"/>
        <w:numPr>
          <w:ilvl w:val="1"/>
          <w:numId w:val="37"/>
        </w:numPr>
        <w:spacing w:line="300" w:lineRule="auto"/>
        <w:ind w:left="0" w:firstLine="0" w:firstLineChars="0"/>
        <w:rPr>
          <w:shd w:val="clear" w:color="auto" w:fill="FFFFFF"/>
        </w:rPr>
      </w:pPr>
      <w:r>
        <w:rPr>
          <w:rFonts w:hint="eastAsia"/>
          <w:shd w:val="clear" w:color="auto" w:fill="FFFFFF"/>
        </w:rPr>
        <w:t>管网信息系统应落实网络安全等级保护制度，通信网络、数据存储及软硬件的安全管理应按国家及水利行业相关标准执行。系统应具备用户身份认证、权限分级管理和操作日志审计功能，防止越权访问和非法操作。</w:t>
      </w:r>
    </w:p>
    <w:p w14:paraId="45CD1CDE">
      <w:pPr>
        <w:pStyle w:val="26"/>
        <w:numPr>
          <w:ilvl w:val="1"/>
          <w:numId w:val="37"/>
        </w:numPr>
        <w:spacing w:line="300" w:lineRule="auto"/>
        <w:ind w:left="0" w:firstLine="0" w:firstLineChars="0"/>
        <w:rPr>
          <w:shd w:val="clear" w:color="auto" w:fill="FFFFFF"/>
        </w:rPr>
      </w:pPr>
      <w:r>
        <w:rPr>
          <w:rFonts w:hint="eastAsia"/>
          <w:shd w:val="clear" w:color="auto" w:fill="FFFFFF"/>
        </w:rPr>
        <w:t>运行监测数据、评估报告及调度指令等关键信息应采用加密方式传输和存储。应建立数据备份机制，关键数据应实时备份，重要档案备份宜异地保存。</w:t>
      </w:r>
    </w:p>
    <w:p w14:paraId="68D93FD8">
      <w:pPr>
        <w:pStyle w:val="26"/>
        <w:numPr>
          <w:ilvl w:val="1"/>
          <w:numId w:val="37"/>
        </w:numPr>
        <w:spacing w:line="300" w:lineRule="auto"/>
        <w:ind w:left="0" w:firstLine="0" w:firstLineChars="0"/>
        <w:rPr>
          <w:shd w:val="clear" w:color="auto" w:fill="FFFFFF"/>
        </w:rPr>
        <w:sectPr>
          <w:pgSz w:w="11906" w:h="16838"/>
          <w:pgMar w:top="1440" w:right="1800" w:bottom="1440" w:left="1800" w:header="851" w:footer="992" w:gutter="0"/>
          <w:cols w:space="425" w:num="1"/>
          <w:docGrid w:type="lines" w:linePitch="312" w:charSpace="0"/>
        </w:sectPr>
      </w:pPr>
    </w:p>
    <w:p w14:paraId="71734172">
      <w:pPr>
        <w:widowControl/>
        <w:ind w:firstLine="480"/>
        <w:jc w:val="center"/>
        <w:outlineLvl w:val="0"/>
        <w:rPr>
          <w:rFonts w:hint="eastAsia" w:ascii="黑体" w:hAnsi="黑体" w:eastAsia="黑体" w:cs="黑体"/>
          <w:kern w:val="0"/>
          <w:sz w:val="24"/>
          <w:szCs w:val="24"/>
        </w:rPr>
      </w:pPr>
      <w:bookmarkStart w:id="106" w:name="_Toc234402397"/>
      <w:r>
        <w:rPr>
          <w:rFonts w:hint="eastAsia" w:ascii="黑体" w:hAnsi="黑体" w:eastAsia="黑体" w:cs="黑体"/>
          <w:kern w:val="0"/>
          <w:sz w:val="24"/>
          <w:szCs w:val="24"/>
        </w:rPr>
        <w:t>附录A</w:t>
      </w:r>
      <w:bookmarkEnd w:id="106"/>
    </w:p>
    <w:p w14:paraId="6DA2958B">
      <w:pPr>
        <w:widowControl/>
        <w:ind w:firstLine="480"/>
        <w:jc w:val="center"/>
        <w:rPr>
          <w:rFonts w:hint="eastAsia" w:ascii="黑体" w:hAnsi="黑体" w:eastAsia="黑体" w:cs="黑体"/>
          <w:kern w:val="0"/>
          <w:sz w:val="24"/>
          <w:szCs w:val="24"/>
        </w:rPr>
      </w:pPr>
      <w:r>
        <w:rPr>
          <w:rFonts w:hint="eastAsia" w:ascii="黑体" w:hAnsi="黑体" w:eastAsia="黑体" w:cs="黑体"/>
          <w:kern w:val="0"/>
          <w:sz w:val="24"/>
          <w:szCs w:val="24"/>
        </w:rPr>
        <w:t>（规范性）</w:t>
      </w:r>
    </w:p>
    <w:p w14:paraId="114FDB54">
      <w:pPr>
        <w:widowControl/>
        <w:ind w:firstLine="480"/>
        <w:jc w:val="center"/>
        <w:rPr>
          <w:rFonts w:hint="eastAsia" w:ascii="黑体" w:hAnsi="黑体" w:eastAsia="黑体" w:cs="黑体"/>
          <w:kern w:val="0"/>
          <w:sz w:val="24"/>
          <w:szCs w:val="24"/>
        </w:rPr>
      </w:pPr>
      <w:r>
        <w:rPr>
          <w:rFonts w:hint="eastAsia" w:ascii="黑体" w:hAnsi="黑体" w:eastAsia="黑体" w:cs="黑体"/>
          <w:kern w:val="0"/>
          <w:sz w:val="24"/>
          <w:szCs w:val="24"/>
        </w:rPr>
        <w:t>风险评估定色标准</w:t>
      </w:r>
    </w:p>
    <w:p w14:paraId="3A373BF9">
      <w:pPr>
        <w:widowControl/>
        <w:ind w:firstLine="420"/>
        <w:jc w:val="left"/>
        <w:rPr>
          <w:rFonts w:hint="eastAsia" w:ascii="黑体" w:hAnsi="黑体" w:eastAsia="黑体" w:cs="黑体"/>
          <w:kern w:val="0"/>
          <w:sz w:val="24"/>
          <w:szCs w:val="24"/>
        </w:rPr>
      </w:pPr>
      <w:r>
        <w:rPr>
          <w:rFonts w:hint="eastAsia"/>
          <w:shd w:val="clear" w:color="auto" w:fill="FFFFFF"/>
        </w:rPr>
        <w:t>本附录（规范性）规定了第8章安全评估中各风险类别的单项定色判定阈值。综合风险等级按各类最不利等级确定。</w:t>
      </w:r>
    </w:p>
    <w:p w14:paraId="3F9DD34C">
      <w:pPr>
        <w:pStyle w:val="29"/>
        <w:rPr>
          <w:rFonts w:hint="eastAsia"/>
        </w:rPr>
      </w:pPr>
      <w:r>
        <w:t>表A.1 压力安全性定色标准</w:t>
      </w:r>
    </w:p>
    <w:tbl>
      <w:tblPr>
        <w:tblStyle w:val="66"/>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2"/>
        <w:gridCol w:w="3499"/>
        <w:gridCol w:w="2841"/>
      </w:tblGrid>
      <w:tr w14:paraId="0980B8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12" w:space="0"/>
              <w:left w:val="nil"/>
              <w:bottom w:val="single" w:color="auto" w:sz="4" w:space="0"/>
              <w:right w:val="nil"/>
              <w:insideH w:val="single" w:sz="4" w:space="0"/>
            </w:tcBorders>
            <w:vAlign w:val="center"/>
          </w:tcPr>
          <w:p w14:paraId="24BFE3C7">
            <w:pPr>
              <w:pStyle w:val="30"/>
              <w:rPr>
                <w:rFonts w:hint="default" w:ascii="Times New Roman" w:hAnsi="Times New Roman" w:eastAsia="宋体"/>
                <w:b w:val="0"/>
                <w:bCs/>
                <w:i w:val="0"/>
              </w:rPr>
            </w:pPr>
            <w:r>
              <w:rPr>
                <w:rFonts w:hint="default" w:ascii="Times New Roman" w:hAnsi="Times New Roman" w:eastAsia="宋体"/>
                <w:b w:val="0"/>
                <w:bCs/>
                <w:i w:val="0"/>
              </w:rPr>
              <w:t>风险等级</w:t>
            </w:r>
          </w:p>
        </w:tc>
        <w:tc>
          <w:tcPr>
            <w:tcW w:w="3410" w:type="dxa"/>
            <w:tcBorders>
              <w:top w:val="single" w:color="auto" w:sz="12" w:space="0"/>
              <w:left w:val="nil"/>
              <w:bottom w:val="single" w:color="auto" w:sz="4" w:space="0"/>
              <w:right w:val="nil"/>
              <w:insideH w:val="single" w:sz="4" w:space="0"/>
            </w:tcBorders>
            <w:vAlign w:val="center"/>
          </w:tcPr>
          <w:p w14:paraId="7092029C">
            <w:pPr>
              <w:pStyle w:val="30"/>
              <w:rPr>
                <w:rFonts w:hint="default" w:ascii="Times New Roman" w:hAnsi="Times New Roman" w:eastAsia="宋体"/>
                <w:b w:val="0"/>
                <w:bCs/>
                <w:i w:val="0"/>
              </w:rPr>
            </w:pPr>
            <w:r>
              <w:rPr>
                <w:rFonts w:hint="default" w:ascii="Times New Roman" w:hAnsi="Times New Roman" w:eastAsia="宋体"/>
                <w:b w:val="0"/>
                <w:bCs/>
                <w:i w:val="0"/>
              </w:rPr>
              <w:t>判定条件</w:t>
            </w:r>
          </w:p>
        </w:tc>
        <w:tc>
          <w:tcPr>
            <w:tcW w:w="2769" w:type="dxa"/>
            <w:tcBorders>
              <w:top w:val="single" w:color="auto" w:sz="12" w:space="0"/>
              <w:left w:val="nil"/>
              <w:bottom w:val="single" w:color="auto" w:sz="4" w:space="0"/>
              <w:right w:val="nil"/>
              <w:insideH w:val="single" w:sz="4" w:space="0"/>
            </w:tcBorders>
            <w:vAlign w:val="center"/>
          </w:tcPr>
          <w:p w14:paraId="2C7B1927">
            <w:pPr>
              <w:pStyle w:val="30"/>
              <w:rPr>
                <w:rFonts w:hint="default" w:ascii="Times New Roman" w:hAnsi="Times New Roman" w:eastAsia="宋体"/>
                <w:b w:val="0"/>
                <w:bCs/>
                <w:i w:val="0"/>
              </w:rPr>
            </w:pPr>
            <w:r>
              <w:rPr>
                <w:rFonts w:hint="default" w:ascii="Times New Roman" w:hAnsi="Times New Roman" w:eastAsia="宋体"/>
                <w:b w:val="0"/>
                <w:bCs/>
                <w:i w:val="0"/>
              </w:rPr>
              <w:t>管道状态描述</w:t>
            </w:r>
          </w:p>
        </w:tc>
      </w:tr>
      <w:tr w14:paraId="162053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4" w:space="0"/>
              <w:left w:val="nil"/>
              <w:bottom w:val="nil"/>
              <w:right w:val="nil"/>
            </w:tcBorders>
            <w:vAlign w:val="center"/>
          </w:tcPr>
          <w:p w14:paraId="2A208344">
            <w:pPr>
              <w:pStyle w:val="30"/>
              <w:rPr>
                <w:bCs/>
              </w:rPr>
            </w:pPr>
            <w:r>
              <w:rPr>
                <w:bCs/>
              </w:rPr>
              <w:t>红色</w:t>
            </w:r>
          </w:p>
        </w:tc>
        <w:tc>
          <w:tcPr>
            <w:tcW w:w="3410" w:type="dxa"/>
            <w:tcBorders>
              <w:top w:val="single" w:color="auto" w:sz="4" w:space="0"/>
              <w:left w:val="nil"/>
              <w:bottom w:val="nil"/>
              <w:right w:val="nil"/>
            </w:tcBorders>
            <w:vAlign w:val="center"/>
          </w:tcPr>
          <w:p w14:paraId="3C588D50">
            <w:pPr>
              <w:pStyle w:val="30"/>
              <w:rPr>
                <w:bCs/>
              </w:rPr>
            </w:pPr>
            <w:r>
              <w:rPr>
                <w:bCs/>
              </w:rPr>
              <w:t>持续超过设计工作压力上限的120%</w:t>
            </w:r>
          </w:p>
        </w:tc>
        <w:tc>
          <w:tcPr>
            <w:tcW w:w="2769" w:type="dxa"/>
            <w:tcBorders>
              <w:top w:val="single" w:color="auto" w:sz="4" w:space="0"/>
              <w:left w:val="nil"/>
              <w:bottom w:val="nil"/>
              <w:right w:val="nil"/>
            </w:tcBorders>
            <w:vAlign w:val="center"/>
          </w:tcPr>
          <w:p w14:paraId="2C320616">
            <w:pPr>
              <w:pStyle w:val="30"/>
              <w:rPr>
                <w:bCs/>
              </w:rPr>
            </w:pPr>
            <w:r>
              <w:rPr>
                <w:bCs/>
              </w:rPr>
              <w:t>压力严重超限，爆管风险极高</w:t>
            </w:r>
          </w:p>
        </w:tc>
      </w:tr>
      <w:tr w14:paraId="7512F4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nil"/>
              <w:right w:val="nil"/>
            </w:tcBorders>
            <w:vAlign w:val="center"/>
          </w:tcPr>
          <w:p w14:paraId="71316491">
            <w:pPr>
              <w:pStyle w:val="30"/>
              <w:rPr>
                <w:bCs/>
              </w:rPr>
            </w:pPr>
            <w:r>
              <w:rPr>
                <w:bCs/>
              </w:rPr>
              <w:t>橙色</w:t>
            </w:r>
          </w:p>
        </w:tc>
        <w:tc>
          <w:tcPr>
            <w:tcW w:w="3410" w:type="dxa"/>
            <w:tcBorders>
              <w:top w:val="nil"/>
              <w:left w:val="nil"/>
              <w:bottom w:val="nil"/>
              <w:right w:val="nil"/>
            </w:tcBorders>
            <w:vAlign w:val="center"/>
          </w:tcPr>
          <w:p w14:paraId="0EEBF88E">
            <w:pPr>
              <w:pStyle w:val="30"/>
              <w:rPr>
                <w:bCs/>
              </w:rPr>
            </w:pPr>
            <w:r>
              <w:rPr>
                <w:bCs/>
              </w:rPr>
              <w:t>持续超过设计工作压力上限的100%～120%</w:t>
            </w:r>
          </w:p>
        </w:tc>
        <w:tc>
          <w:tcPr>
            <w:tcW w:w="2769" w:type="dxa"/>
            <w:tcBorders>
              <w:top w:val="nil"/>
              <w:left w:val="nil"/>
              <w:bottom w:val="nil"/>
              <w:right w:val="nil"/>
            </w:tcBorders>
            <w:vAlign w:val="center"/>
          </w:tcPr>
          <w:p w14:paraId="0DAB0607">
            <w:pPr>
              <w:pStyle w:val="30"/>
              <w:rPr>
                <w:bCs/>
              </w:rPr>
            </w:pPr>
            <w:r>
              <w:rPr>
                <w:bCs/>
              </w:rPr>
              <w:t>压力明显超限，需立即降压</w:t>
            </w:r>
          </w:p>
        </w:tc>
      </w:tr>
      <w:tr w14:paraId="64642A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nil"/>
              <w:right w:val="nil"/>
            </w:tcBorders>
            <w:vAlign w:val="center"/>
          </w:tcPr>
          <w:p w14:paraId="734D5B75">
            <w:pPr>
              <w:pStyle w:val="30"/>
              <w:rPr>
                <w:bCs/>
              </w:rPr>
            </w:pPr>
            <w:r>
              <w:rPr>
                <w:bCs/>
              </w:rPr>
              <w:t>黄色</w:t>
            </w:r>
          </w:p>
        </w:tc>
        <w:tc>
          <w:tcPr>
            <w:tcW w:w="3410" w:type="dxa"/>
            <w:tcBorders>
              <w:top w:val="nil"/>
              <w:left w:val="nil"/>
              <w:bottom w:val="nil"/>
              <w:right w:val="nil"/>
            </w:tcBorders>
            <w:vAlign w:val="center"/>
          </w:tcPr>
          <w:p w14:paraId="79BA97B4">
            <w:pPr>
              <w:pStyle w:val="30"/>
              <w:rPr>
                <w:bCs/>
              </w:rPr>
            </w:pPr>
            <w:r>
              <w:rPr>
                <w:bCs/>
              </w:rPr>
              <w:t>压力波动超过设计工作压力±20%的频次异常增加</w:t>
            </w:r>
          </w:p>
        </w:tc>
        <w:tc>
          <w:tcPr>
            <w:tcW w:w="2769" w:type="dxa"/>
            <w:tcBorders>
              <w:top w:val="nil"/>
              <w:left w:val="nil"/>
              <w:bottom w:val="nil"/>
              <w:right w:val="nil"/>
            </w:tcBorders>
            <w:vAlign w:val="center"/>
          </w:tcPr>
          <w:p w14:paraId="065ACC81">
            <w:pPr>
              <w:pStyle w:val="30"/>
              <w:rPr>
                <w:bCs/>
              </w:rPr>
            </w:pPr>
            <w:r>
              <w:rPr>
                <w:bCs/>
              </w:rPr>
              <w:t>压力波动异常，需排查原因</w:t>
            </w:r>
          </w:p>
        </w:tc>
      </w:tr>
      <w:tr w14:paraId="0661E3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single" w:color="auto" w:sz="12" w:space="0"/>
              <w:right w:val="nil"/>
            </w:tcBorders>
            <w:vAlign w:val="center"/>
          </w:tcPr>
          <w:p w14:paraId="71CFE3E5">
            <w:pPr>
              <w:pStyle w:val="30"/>
              <w:rPr>
                <w:bCs/>
              </w:rPr>
            </w:pPr>
            <w:r>
              <w:rPr>
                <w:bCs/>
              </w:rPr>
              <w:t>蓝色</w:t>
            </w:r>
          </w:p>
        </w:tc>
        <w:tc>
          <w:tcPr>
            <w:tcW w:w="3410" w:type="dxa"/>
            <w:tcBorders>
              <w:top w:val="nil"/>
              <w:left w:val="nil"/>
              <w:bottom w:val="single" w:color="auto" w:sz="12" w:space="0"/>
              <w:right w:val="nil"/>
            </w:tcBorders>
            <w:vAlign w:val="center"/>
          </w:tcPr>
          <w:p w14:paraId="4F66B68F">
            <w:pPr>
              <w:pStyle w:val="30"/>
              <w:rPr>
                <w:bCs/>
              </w:rPr>
            </w:pPr>
            <w:r>
              <w:rPr>
                <w:bCs/>
              </w:rPr>
              <w:t>压力在设计工作压力±20%范围内稳定运行</w:t>
            </w:r>
          </w:p>
        </w:tc>
        <w:tc>
          <w:tcPr>
            <w:tcW w:w="2769" w:type="dxa"/>
            <w:tcBorders>
              <w:top w:val="nil"/>
              <w:left w:val="nil"/>
              <w:bottom w:val="single" w:color="auto" w:sz="12" w:space="0"/>
              <w:right w:val="nil"/>
            </w:tcBorders>
            <w:vAlign w:val="center"/>
          </w:tcPr>
          <w:p w14:paraId="32767B38">
            <w:pPr>
              <w:pStyle w:val="30"/>
              <w:rPr>
                <w:bCs/>
              </w:rPr>
            </w:pPr>
            <w:r>
              <w:rPr>
                <w:bCs/>
              </w:rPr>
              <w:t>压力正常</w:t>
            </w:r>
          </w:p>
        </w:tc>
      </w:tr>
    </w:tbl>
    <w:p w14:paraId="65CDD91C">
      <w:pPr>
        <w:pStyle w:val="29"/>
      </w:pPr>
    </w:p>
    <w:p w14:paraId="7450E734">
      <w:pPr>
        <w:pStyle w:val="29"/>
        <w:rPr>
          <w:rFonts w:hint="eastAsia"/>
        </w:rPr>
      </w:pPr>
      <w:r>
        <w:t>表A.2 流量安全性定色标准</w:t>
      </w:r>
    </w:p>
    <w:tbl>
      <w:tblPr>
        <w:tblStyle w:val="66"/>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2"/>
        <w:gridCol w:w="3499"/>
        <w:gridCol w:w="2841"/>
      </w:tblGrid>
      <w:tr w14:paraId="03C499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12" w:space="0"/>
              <w:left w:val="nil"/>
              <w:bottom w:val="single" w:color="auto" w:sz="4" w:space="0"/>
              <w:right w:val="nil"/>
              <w:insideH w:val="single" w:sz="4" w:space="0"/>
            </w:tcBorders>
            <w:vAlign w:val="center"/>
          </w:tcPr>
          <w:p w14:paraId="5EC2A289">
            <w:pPr>
              <w:pStyle w:val="30"/>
              <w:rPr>
                <w:rFonts w:hint="default" w:ascii="Times New Roman" w:hAnsi="Times New Roman" w:eastAsia="宋体"/>
                <w:b w:val="0"/>
                <w:bCs/>
                <w:i w:val="0"/>
              </w:rPr>
            </w:pPr>
            <w:r>
              <w:rPr>
                <w:rFonts w:hint="default" w:ascii="Times New Roman" w:hAnsi="Times New Roman" w:eastAsia="宋体"/>
                <w:b w:val="0"/>
                <w:bCs/>
                <w:i w:val="0"/>
              </w:rPr>
              <w:t>风险等级</w:t>
            </w:r>
          </w:p>
        </w:tc>
        <w:tc>
          <w:tcPr>
            <w:tcW w:w="3410" w:type="dxa"/>
            <w:tcBorders>
              <w:top w:val="single" w:color="auto" w:sz="12" w:space="0"/>
              <w:left w:val="nil"/>
              <w:bottom w:val="single" w:color="auto" w:sz="4" w:space="0"/>
              <w:right w:val="nil"/>
              <w:insideH w:val="single" w:sz="4" w:space="0"/>
            </w:tcBorders>
            <w:vAlign w:val="center"/>
          </w:tcPr>
          <w:p w14:paraId="6BE24A4B">
            <w:pPr>
              <w:pStyle w:val="30"/>
              <w:rPr>
                <w:rFonts w:hint="default" w:ascii="Times New Roman" w:hAnsi="Times New Roman" w:eastAsia="宋体"/>
                <w:b w:val="0"/>
                <w:bCs/>
                <w:i w:val="0"/>
              </w:rPr>
            </w:pPr>
            <w:r>
              <w:rPr>
                <w:rFonts w:hint="default" w:ascii="Times New Roman" w:hAnsi="Times New Roman" w:eastAsia="宋体"/>
                <w:b w:val="0"/>
                <w:bCs/>
                <w:i w:val="0"/>
              </w:rPr>
              <w:t>判定条件</w:t>
            </w:r>
          </w:p>
        </w:tc>
        <w:tc>
          <w:tcPr>
            <w:tcW w:w="2769" w:type="dxa"/>
            <w:tcBorders>
              <w:top w:val="single" w:color="auto" w:sz="12" w:space="0"/>
              <w:left w:val="nil"/>
              <w:bottom w:val="single" w:color="auto" w:sz="4" w:space="0"/>
              <w:right w:val="nil"/>
              <w:insideH w:val="single" w:sz="4" w:space="0"/>
            </w:tcBorders>
            <w:vAlign w:val="center"/>
          </w:tcPr>
          <w:p w14:paraId="634907FE">
            <w:pPr>
              <w:pStyle w:val="30"/>
              <w:rPr>
                <w:rFonts w:hint="default" w:ascii="Times New Roman" w:hAnsi="Times New Roman" w:eastAsia="宋体"/>
                <w:b w:val="0"/>
                <w:bCs/>
                <w:i w:val="0"/>
              </w:rPr>
            </w:pPr>
            <w:r>
              <w:rPr>
                <w:rFonts w:hint="default" w:ascii="Times New Roman" w:hAnsi="Times New Roman" w:eastAsia="宋体"/>
                <w:b w:val="0"/>
                <w:bCs/>
                <w:i w:val="0"/>
              </w:rPr>
              <w:t>管道状态描述</w:t>
            </w:r>
          </w:p>
        </w:tc>
      </w:tr>
      <w:tr w14:paraId="168A67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4" w:space="0"/>
              <w:left w:val="nil"/>
              <w:bottom w:val="nil"/>
              <w:right w:val="nil"/>
            </w:tcBorders>
            <w:vAlign w:val="center"/>
          </w:tcPr>
          <w:p w14:paraId="28316D22">
            <w:pPr>
              <w:pStyle w:val="30"/>
              <w:rPr>
                <w:bCs/>
              </w:rPr>
            </w:pPr>
            <w:r>
              <w:rPr>
                <w:bCs/>
              </w:rPr>
              <w:t>红色</w:t>
            </w:r>
          </w:p>
        </w:tc>
        <w:tc>
          <w:tcPr>
            <w:tcW w:w="3410" w:type="dxa"/>
            <w:tcBorders>
              <w:top w:val="single" w:color="auto" w:sz="4" w:space="0"/>
              <w:left w:val="nil"/>
              <w:bottom w:val="nil"/>
              <w:right w:val="nil"/>
            </w:tcBorders>
            <w:vAlign w:val="center"/>
          </w:tcPr>
          <w:p w14:paraId="0B34752A">
            <w:pPr>
              <w:pStyle w:val="30"/>
              <w:rPr>
                <w:bCs/>
              </w:rPr>
            </w:pPr>
            <w:r>
              <w:rPr>
                <w:bCs/>
              </w:rPr>
              <w:t>流速持续超过设计允许最大流速</w:t>
            </w:r>
          </w:p>
        </w:tc>
        <w:tc>
          <w:tcPr>
            <w:tcW w:w="2769" w:type="dxa"/>
            <w:tcBorders>
              <w:top w:val="single" w:color="auto" w:sz="4" w:space="0"/>
              <w:left w:val="nil"/>
              <w:bottom w:val="nil"/>
              <w:right w:val="nil"/>
            </w:tcBorders>
            <w:vAlign w:val="center"/>
          </w:tcPr>
          <w:p w14:paraId="767F8E7E">
            <w:pPr>
              <w:pStyle w:val="30"/>
              <w:rPr>
                <w:bCs/>
              </w:rPr>
            </w:pPr>
            <w:r>
              <w:rPr>
                <w:bCs/>
              </w:rPr>
              <w:t>冲刷风险极高</w:t>
            </w:r>
          </w:p>
        </w:tc>
      </w:tr>
      <w:tr w14:paraId="7AF912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nil"/>
              <w:right w:val="nil"/>
            </w:tcBorders>
            <w:vAlign w:val="center"/>
          </w:tcPr>
          <w:p w14:paraId="56B12005">
            <w:pPr>
              <w:pStyle w:val="30"/>
              <w:rPr>
                <w:bCs/>
              </w:rPr>
            </w:pPr>
            <w:r>
              <w:rPr>
                <w:bCs/>
              </w:rPr>
              <w:t>橙色</w:t>
            </w:r>
          </w:p>
        </w:tc>
        <w:tc>
          <w:tcPr>
            <w:tcW w:w="3410" w:type="dxa"/>
            <w:tcBorders>
              <w:top w:val="nil"/>
              <w:left w:val="nil"/>
              <w:bottom w:val="nil"/>
              <w:right w:val="nil"/>
            </w:tcBorders>
            <w:vAlign w:val="center"/>
          </w:tcPr>
          <w:p w14:paraId="64263216">
            <w:pPr>
              <w:pStyle w:val="30"/>
              <w:rPr>
                <w:bCs/>
              </w:rPr>
            </w:pPr>
            <w:r>
              <w:rPr>
                <w:bCs/>
              </w:rPr>
              <w:t>流速持续超过3.0 m/s且呈现上升趋势</w:t>
            </w:r>
          </w:p>
        </w:tc>
        <w:tc>
          <w:tcPr>
            <w:tcW w:w="2769" w:type="dxa"/>
            <w:tcBorders>
              <w:top w:val="nil"/>
              <w:left w:val="nil"/>
              <w:bottom w:val="nil"/>
              <w:right w:val="nil"/>
            </w:tcBorders>
            <w:vAlign w:val="center"/>
          </w:tcPr>
          <w:p w14:paraId="285C60C4">
            <w:pPr>
              <w:pStyle w:val="30"/>
              <w:rPr>
                <w:bCs/>
              </w:rPr>
            </w:pPr>
            <w:r>
              <w:rPr>
                <w:bCs/>
              </w:rPr>
              <w:t>流速持续偏高，需采取分流或调流措施</w:t>
            </w:r>
          </w:p>
        </w:tc>
      </w:tr>
      <w:tr w14:paraId="35C5C4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nil"/>
              <w:right w:val="nil"/>
            </w:tcBorders>
            <w:vAlign w:val="center"/>
          </w:tcPr>
          <w:p w14:paraId="4053F767">
            <w:pPr>
              <w:pStyle w:val="30"/>
              <w:rPr>
                <w:bCs/>
              </w:rPr>
            </w:pPr>
            <w:r>
              <w:rPr>
                <w:bCs/>
              </w:rPr>
              <w:t>黄色</w:t>
            </w:r>
          </w:p>
        </w:tc>
        <w:tc>
          <w:tcPr>
            <w:tcW w:w="3410" w:type="dxa"/>
            <w:tcBorders>
              <w:top w:val="nil"/>
              <w:left w:val="nil"/>
              <w:bottom w:val="nil"/>
              <w:right w:val="nil"/>
            </w:tcBorders>
            <w:vAlign w:val="center"/>
          </w:tcPr>
          <w:p w14:paraId="704700A8">
            <w:pPr>
              <w:pStyle w:val="30"/>
              <w:rPr>
                <w:bCs/>
              </w:rPr>
            </w:pPr>
            <w:r>
              <w:rPr>
                <w:bCs/>
              </w:rPr>
              <w:t>高含沙期（含沙量&gt;3 kg/m³）流速低于1.2 m/s</w:t>
            </w:r>
          </w:p>
        </w:tc>
        <w:tc>
          <w:tcPr>
            <w:tcW w:w="2769" w:type="dxa"/>
            <w:tcBorders>
              <w:top w:val="nil"/>
              <w:left w:val="nil"/>
              <w:bottom w:val="nil"/>
              <w:right w:val="nil"/>
            </w:tcBorders>
            <w:vAlign w:val="center"/>
          </w:tcPr>
          <w:p w14:paraId="6EF12FDB">
            <w:pPr>
              <w:pStyle w:val="30"/>
              <w:rPr>
                <w:bCs/>
              </w:rPr>
            </w:pPr>
            <w:r>
              <w:rPr>
                <w:bCs/>
              </w:rPr>
              <w:t>淤积风险增加，需调整运行方案</w:t>
            </w:r>
          </w:p>
        </w:tc>
      </w:tr>
      <w:tr w14:paraId="2131C9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nil"/>
              <w:left w:val="nil"/>
              <w:bottom w:val="single" w:color="auto" w:sz="12" w:space="0"/>
              <w:right w:val="nil"/>
            </w:tcBorders>
            <w:vAlign w:val="center"/>
          </w:tcPr>
          <w:p w14:paraId="7F0096F8">
            <w:pPr>
              <w:pStyle w:val="30"/>
              <w:rPr>
                <w:bCs/>
              </w:rPr>
            </w:pPr>
            <w:r>
              <w:rPr>
                <w:bCs/>
              </w:rPr>
              <w:t>蓝色</w:t>
            </w:r>
          </w:p>
        </w:tc>
        <w:tc>
          <w:tcPr>
            <w:tcW w:w="3410" w:type="dxa"/>
            <w:tcBorders>
              <w:top w:val="nil"/>
              <w:left w:val="nil"/>
              <w:bottom w:val="single" w:color="auto" w:sz="12" w:space="0"/>
              <w:right w:val="nil"/>
            </w:tcBorders>
            <w:vAlign w:val="center"/>
          </w:tcPr>
          <w:p w14:paraId="54ACA885">
            <w:pPr>
              <w:pStyle w:val="30"/>
              <w:rPr>
                <w:bCs/>
              </w:rPr>
            </w:pPr>
            <w:r>
              <w:rPr>
                <w:bCs/>
              </w:rPr>
              <w:t>流速处于安全区间</w:t>
            </w:r>
          </w:p>
        </w:tc>
        <w:tc>
          <w:tcPr>
            <w:tcW w:w="2769" w:type="dxa"/>
            <w:tcBorders>
              <w:top w:val="nil"/>
              <w:left w:val="nil"/>
              <w:bottom w:val="single" w:color="auto" w:sz="12" w:space="0"/>
              <w:right w:val="nil"/>
            </w:tcBorders>
            <w:vAlign w:val="center"/>
          </w:tcPr>
          <w:p w14:paraId="7EC9DD0A">
            <w:pPr>
              <w:pStyle w:val="30"/>
              <w:rPr>
                <w:bCs/>
              </w:rPr>
            </w:pPr>
            <w:r>
              <w:rPr>
                <w:bCs/>
              </w:rPr>
              <w:t>流速正常</w:t>
            </w:r>
          </w:p>
        </w:tc>
      </w:tr>
    </w:tbl>
    <w:p w14:paraId="1C6E5C8D">
      <w:pPr>
        <w:pStyle w:val="29"/>
        <w:rPr>
          <w:bCs/>
        </w:rPr>
      </w:pPr>
    </w:p>
    <w:p w14:paraId="0E1DA9A1">
      <w:pPr>
        <w:pStyle w:val="29"/>
        <w:rPr>
          <w:rFonts w:hint="eastAsia"/>
          <w:bCs/>
        </w:rPr>
      </w:pPr>
      <w:r>
        <w:rPr>
          <w:bCs/>
        </w:rPr>
        <w:t>表A.3 水锤安全性定色标准</w:t>
      </w:r>
    </w:p>
    <w:tbl>
      <w:tblPr>
        <w:tblStyle w:val="66"/>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27"/>
        <w:gridCol w:w="3354"/>
        <w:gridCol w:w="2841"/>
      </w:tblGrid>
      <w:tr w14:paraId="4AA3A5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8" w:type="dxa"/>
            <w:tcBorders>
              <w:top w:val="single" w:color="auto" w:sz="12" w:space="0"/>
              <w:left w:val="nil"/>
              <w:bottom w:val="single" w:color="auto" w:sz="4" w:space="0"/>
              <w:right w:val="nil"/>
              <w:insideH w:val="single" w:sz="4" w:space="0"/>
            </w:tcBorders>
            <w:vAlign w:val="center"/>
          </w:tcPr>
          <w:p w14:paraId="23012F00">
            <w:pPr>
              <w:pStyle w:val="30"/>
              <w:rPr>
                <w:rFonts w:hint="default" w:ascii="Times New Roman" w:hAnsi="Times New Roman" w:eastAsia="宋体"/>
                <w:b w:val="0"/>
                <w:bCs/>
                <w:i w:val="0"/>
              </w:rPr>
            </w:pPr>
            <w:r>
              <w:rPr>
                <w:rFonts w:hint="default" w:ascii="Times New Roman" w:hAnsi="Times New Roman" w:eastAsia="宋体"/>
                <w:b w:val="0"/>
                <w:bCs/>
                <w:i w:val="0"/>
              </w:rPr>
              <w:t>风险等级</w:t>
            </w:r>
          </w:p>
        </w:tc>
        <w:tc>
          <w:tcPr>
            <w:tcW w:w="3269" w:type="dxa"/>
            <w:tcBorders>
              <w:top w:val="single" w:color="auto" w:sz="12" w:space="0"/>
              <w:left w:val="nil"/>
              <w:bottom w:val="single" w:color="auto" w:sz="4" w:space="0"/>
              <w:right w:val="nil"/>
              <w:insideH w:val="single" w:sz="4" w:space="0"/>
            </w:tcBorders>
            <w:vAlign w:val="center"/>
          </w:tcPr>
          <w:p w14:paraId="7F74DE99">
            <w:pPr>
              <w:pStyle w:val="30"/>
              <w:rPr>
                <w:rFonts w:hint="default" w:ascii="Times New Roman" w:hAnsi="Times New Roman" w:eastAsia="宋体"/>
                <w:b w:val="0"/>
                <w:bCs/>
                <w:i w:val="0"/>
              </w:rPr>
            </w:pPr>
            <w:r>
              <w:rPr>
                <w:rFonts w:hint="default" w:ascii="Times New Roman" w:hAnsi="Times New Roman" w:eastAsia="宋体"/>
                <w:b w:val="0"/>
                <w:bCs/>
                <w:i w:val="0"/>
              </w:rPr>
              <w:t>判定条件</w:t>
            </w:r>
          </w:p>
        </w:tc>
        <w:tc>
          <w:tcPr>
            <w:tcW w:w="2769" w:type="dxa"/>
            <w:tcBorders>
              <w:top w:val="single" w:color="auto" w:sz="12" w:space="0"/>
              <w:left w:val="nil"/>
              <w:bottom w:val="single" w:color="auto" w:sz="4" w:space="0"/>
              <w:right w:val="nil"/>
              <w:insideH w:val="single" w:sz="4" w:space="0"/>
            </w:tcBorders>
            <w:vAlign w:val="center"/>
          </w:tcPr>
          <w:p w14:paraId="418C9E59">
            <w:pPr>
              <w:pStyle w:val="30"/>
              <w:rPr>
                <w:rFonts w:hint="default" w:ascii="Times New Roman" w:hAnsi="Times New Roman" w:eastAsia="宋体"/>
                <w:b w:val="0"/>
                <w:bCs/>
                <w:i w:val="0"/>
              </w:rPr>
            </w:pPr>
            <w:r>
              <w:rPr>
                <w:rFonts w:hint="default" w:ascii="Times New Roman" w:hAnsi="Times New Roman" w:eastAsia="宋体"/>
                <w:b w:val="0"/>
                <w:bCs/>
                <w:i w:val="0"/>
              </w:rPr>
              <w:t>管道状态描述</w:t>
            </w:r>
          </w:p>
        </w:tc>
      </w:tr>
      <w:tr w14:paraId="24F952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8" w:type="dxa"/>
            <w:tcBorders>
              <w:top w:val="single" w:color="auto" w:sz="4" w:space="0"/>
              <w:left w:val="nil"/>
              <w:bottom w:val="nil"/>
              <w:right w:val="nil"/>
            </w:tcBorders>
            <w:vAlign w:val="center"/>
          </w:tcPr>
          <w:p w14:paraId="030F4D47">
            <w:pPr>
              <w:pStyle w:val="30"/>
              <w:rPr>
                <w:bCs/>
              </w:rPr>
            </w:pPr>
            <w:r>
              <w:rPr>
                <w:bCs/>
              </w:rPr>
              <w:t>红色</w:t>
            </w:r>
          </w:p>
        </w:tc>
        <w:tc>
          <w:tcPr>
            <w:tcW w:w="3269" w:type="dxa"/>
            <w:tcBorders>
              <w:top w:val="single" w:color="auto" w:sz="4" w:space="0"/>
              <w:left w:val="nil"/>
              <w:bottom w:val="nil"/>
              <w:right w:val="nil"/>
            </w:tcBorders>
            <w:vAlign w:val="center"/>
          </w:tcPr>
          <w:p w14:paraId="7D14531D">
            <w:pPr>
              <w:pStyle w:val="30"/>
              <w:rPr>
                <w:bCs/>
              </w:rPr>
            </w:pPr>
            <w:r>
              <w:rPr>
                <w:bCs/>
              </w:rPr>
              <w:t>瞬变压力超过设计工作压力的150%，或出现负压</w:t>
            </w:r>
          </w:p>
        </w:tc>
        <w:tc>
          <w:tcPr>
            <w:tcW w:w="2769" w:type="dxa"/>
            <w:tcBorders>
              <w:top w:val="single" w:color="auto" w:sz="4" w:space="0"/>
              <w:left w:val="nil"/>
              <w:bottom w:val="nil"/>
              <w:right w:val="nil"/>
            </w:tcBorders>
            <w:vAlign w:val="center"/>
          </w:tcPr>
          <w:p w14:paraId="0FC573D4">
            <w:pPr>
              <w:pStyle w:val="30"/>
              <w:rPr>
                <w:bCs/>
              </w:rPr>
            </w:pPr>
            <w:r>
              <w:rPr>
                <w:bCs/>
              </w:rPr>
              <w:t>结构安全受威胁，需立即停机检查</w:t>
            </w:r>
          </w:p>
        </w:tc>
      </w:tr>
      <w:tr w14:paraId="527792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8" w:type="dxa"/>
            <w:tcBorders>
              <w:top w:val="nil"/>
              <w:left w:val="nil"/>
              <w:bottom w:val="nil"/>
              <w:right w:val="nil"/>
            </w:tcBorders>
            <w:vAlign w:val="center"/>
          </w:tcPr>
          <w:p w14:paraId="0BF0F4D3">
            <w:pPr>
              <w:pStyle w:val="30"/>
              <w:rPr>
                <w:bCs/>
              </w:rPr>
            </w:pPr>
            <w:r>
              <w:rPr>
                <w:bCs/>
              </w:rPr>
              <w:t>橙色</w:t>
            </w:r>
          </w:p>
        </w:tc>
        <w:tc>
          <w:tcPr>
            <w:tcW w:w="3269" w:type="dxa"/>
            <w:tcBorders>
              <w:top w:val="nil"/>
              <w:left w:val="nil"/>
              <w:bottom w:val="nil"/>
              <w:right w:val="nil"/>
            </w:tcBorders>
            <w:vAlign w:val="center"/>
          </w:tcPr>
          <w:p w14:paraId="35ECF860">
            <w:pPr>
              <w:pStyle w:val="30"/>
              <w:rPr>
                <w:bCs/>
              </w:rPr>
            </w:pPr>
            <w:r>
              <w:rPr>
                <w:bCs/>
              </w:rPr>
              <w:t>瞬变压力超过设计工作压力的120%～150%</w:t>
            </w:r>
          </w:p>
        </w:tc>
        <w:tc>
          <w:tcPr>
            <w:tcW w:w="2769" w:type="dxa"/>
            <w:tcBorders>
              <w:top w:val="nil"/>
              <w:left w:val="nil"/>
              <w:bottom w:val="nil"/>
              <w:right w:val="nil"/>
            </w:tcBorders>
            <w:vAlign w:val="center"/>
          </w:tcPr>
          <w:p w14:paraId="5F015DC7">
            <w:pPr>
              <w:pStyle w:val="30"/>
              <w:rPr>
                <w:bCs/>
              </w:rPr>
            </w:pPr>
            <w:r>
              <w:rPr>
                <w:bCs/>
              </w:rPr>
              <w:t>水锤冲击显著，需调整操作方案</w:t>
            </w:r>
          </w:p>
        </w:tc>
      </w:tr>
      <w:tr w14:paraId="0F8566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8" w:type="dxa"/>
            <w:tcBorders>
              <w:top w:val="nil"/>
              <w:left w:val="nil"/>
              <w:bottom w:val="nil"/>
              <w:right w:val="nil"/>
            </w:tcBorders>
            <w:vAlign w:val="center"/>
          </w:tcPr>
          <w:p w14:paraId="503C3854">
            <w:pPr>
              <w:pStyle w:val="30"/>
              <w:rPr>
                <w:bCs/>
              </w:rPr>
            </w:pPr>
            <w:r>
              <w:rPr>
                <w:bCs/>
              </w:rPr>
              <w:t>黄色</w:t>
            </w:r>
          </w:p>
        </w:tc>
        <w:tc>
          <w:tcPr>
            <w:tcW w:w="3269" w:type="dxa"/>
            <w:tcBorders>
              <w:top w:val="nil"/>
              <w:left w:val="nil"/>
              <w:bottom w:val="nil"/>
              <w:right w:val="nil"/>
            </w:tcBorders>
            <w:vAlign w:val="center"/>
          </w:tcPr>
          <w:p w14:paraId="3149C3B6">
            <w:pPr>
              <w:pStyle w:val="30"/>
              <w:rPr>
                <w:bCs/>
              </w:rPr>
            </w:pPr>
            <w:r>
              <w:rPr>
                <w:bCs/>
              </w:rPr>
              <w:t>瞬变压力超过设计工作压力的100%～120%</w:t>
            </w:r>
          </w:p>
        </w:tc>
        <w:tc>
          <w:tcPr>
            <w:tcW w:w="2769" w:type="dxa"/>
            <w:tcBorders>
              <w:top w:val="nil"/>
              <w:left w:val="nil"/>
              <w:bottom w:val="nil"/>
              <w:right w:val="nil"/>
            </w:tcBorders>
            <w:vAlign w:val="center"/>
          </w:tcPr>
          <w:p w14:paraId="75E5E4BF">
            <w:pPr>
              <w:pStyle w:val="30"/>
              <w:rPr>
                <w:bCs/>
              </w:rPr>
            </w:pPr>
            <w:r>
              <w:rPr>
                <w:bCs/>
              </w:rPr>
              <w:t>存在水锤风险，需持续监测</w:t>
            </w:r>
          </w:p>
        </w:tc>
      </w:tr>
      <w:tr w14:paraId="3E5E4F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8" w:type="dxa"/>
            <w:tcBorders>
              <w:top w:val="nil"/>
              <w:left w:val="nil"/>
              <w:bottom w:val="single" w:color="auto" w:sz="12" w:space="0"/>
              <w:right w:val="nil"/>
            </w:tcBorders>
            <w:vAlign w:val="center"/>
          </w:tcPr>
          <w:p w14:paraId="0BAAD0E2">
            <w:pPr>
              <w:pStyle w:val="30"/>
              <w:rPr>
                <w:bCs/>
              </w:rPr>
            </w:pPr>
            <w:r>
              <w:rPr>
                <w:bCs/>
              </w:rPr>
              <w:t>蓝色</w:t>
            </w:r>
          </w:p>
        </w:tc>
        <w:tc>
          <w:tcPr>
            <w:tcW w:w="3269" w:type="dxa"/>
            <w:tcBorders>
              <w:top w:val="nil"/>
              <w:left w:val="nil"/>
              <w:bottom w:val="single" w:color="auto" w:sz="12" w:space="0"/>
              <w:right w:val="nil"/>
            </w:tcBorders>
            <w:vAlign w:val="center"/>
          </w:tcPr>
          <w:p w14:paraId="331C34FC">
            <w:pPr>
              <w:pStyle w:val="30"/>
              <w:rPr>
                <w:bCs/>
              </w:rPr>
            </w:pPr>
            <w:r>
              <w:rPr>
                <w:bCs/>
              </w:rPr>
              <w:t>无异常水锤事件</w:t>
            </w:r>
          </w:p>
        </w:tc>
        <w:tc>
          <w:tcPr>
            <w:tcW w:w="2769" w:type="dxa"/>
            <w:tcBorders>
              <w:top w:val="nil"/>
              <w:left w:val="nil"/>
              <w:bottom w:val="single" w:color="auto" w:sz="12" w:space="0"/>
              <w:right w:val="nil"/>
            </w:tcBorders>
            <w:vAlign w:val="center"/>
          </w:tcPr>
          <w:p w14:paraId="5C297AF1">
            <w:pPr>
              <w:pStyle w:val="30"/>
              <w:rPr>
                <w:bCs/>
              </w:rPr>
            </w:pPr>
            <w:r>
              <w:rPr>
                <w:bCs/>
              </w:rPr>
              <w:t>水锤防护正常</w:t>
            </w:r>
          </w:p>
        </w:tc>
      </w:tr>
    </w:tbl>
    <w:p w14:paraId="11B03833">
      <w:pPr>
        <w:pStyle w:val="29"/>
        <w:rPr>
          <w:bCs/>
        </w:rPr>
      </w:pPr>
    </w:p>
    <w:p w14:paraId="4326A802">
      <w:pPr>
        <w:pStyle w:val="29"/>
        <w:rPr>
          <w:rFonts w:hint="eastAsia"/>
          <w:bCs/>
        </w:rPr>
      </w:pPr>
      <w:r>
        <w:rPr>
          <w:bCs/>
        </w:rPr>
        <w:t>表A.4 淤积风险定色标准</w:t>
      </w:r>
    </w:p>
    <w:tbl>
      <w:tblPr>
        <w:tblStyle w:val="6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6"/>
        <w:gridCol w:w="3880"/>
        <w:gridCol w:w="3156"/>
      </w:tblGrid>
      <w:tr w14:paraId="28778D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12" w:space="0"/>
              <w:left w:val="nil"/>
              <w:bottom w:val="single" w:color="auto" w:sz="4" w:space="0"/>
              <w:right w:val="nil"/>
              <w:insideH w:val="single" w:sz="4" w:space="0"/>
            </w:tcBorders>
            <w:vAlign w:val="center"/>
          </w:tcPr>
          <w:p w14:paraId="3D082919">
            <w:pPr>
              <w:pStyle w:val="30"/>
              <w:rPr>
                <w:rFonts w:hint="default" w:ascii="Times New Roman" w:hAnsi="Times New Roman" w:eastAsia="宋体"/>
                <w:b w:val="0"/>
                <w:bCs/>
                <w:i w:val="0"/>
              </w:rPr>
            </w:pPr>
            <w:r>
              <w:rPr>
                <w:rFonts w:hint="default" w:ascii="Times New Roman" w:hAnsi="Times New Roman" w:eastAsia="宋体"/>
                <w:b w:val="0"/>
                <w:bCs/>
                <w:i w:val="0"/>
              </w:rPr>
              <w:t>风险等级</w:t>
            </w:r>
          </w:p>
        </w:tc>
        <w:tc>
          <w:tcPr>
            <w:tcW w:w="0" w:type="auto"/>
            <w:tcBorders>
              <w:top w:val="single" w:color="auto" w:sz="12" w:space="0"/>
              <w:left w:val="nil"/>
              <w:bottom w:val="single" w:color="auto" w:sz="4" w:space="0"/>
              <w:right w:val="nil"/>
              <w:insideH w:val="single" w:sz="4" w:space="0"/>
            </w:tcBorders>
            <w:vAlign w:val="center"/>
          </w:tcPr>
          <w:p w14:paraId="7D1D6BC9">
            <w:pPr>
              <w:pStyle w:val="30"/>
              <w:rPr>
                <w:rFonts w:hint="default" w:ascii="Times New Roman" w:hAnsi="Times New Roman" w:eastAsia="宋体"/>
                <w:b w:val="0"/>
                <w:bCs/>
                <w:i w:val="0"/>
              </w:rPr>
            </w:pPr>
            <w:r>
              <w:rPr>
                <w:rFonts w:hint="default" w:ascii="Times New Roman" w:hAnsi="Times New Roman" w:eastAsia="宋体"/>
                <w:b w:val="0"/>
                <w:bCs/>
                <w:i w:val="0"/>
              </w:rPr>
              <w:t>判定条件（淤积厚度H与管径D之比）</w:t>
            </w:r>
          </w:p>
        </w:tc>
        <w:tc>
          <w:tcPr>
            <w:tcW w:w="0" w:type="auto"/>
            <w:tcBorders>
              <w:top w:val="single" w:color="auto" w:sz="12" w:space="0"/>
              <w:left w:val="nil"/>
              <w:bottom w:val="single" w:color="auto" w:sz="4" w:space="0"/>
              <w:right w:val="nil"/>
              <w:insideH w:val="single" w:sz="4" w:space="0"/>
            </w:tcBorders>
            <w:vAlign w:val="center"/>
          </w:tcPr>
          <w:p w14:paraId="6CBCF7B3">
            <w:pPr>
              <w:pStyle w:val="30"/>
              <w:rPr>
                <w:rFonts w:hint="default" w:ascii="Times New Roman" w:hAnsi="Times New Roman" w:eastAsia="宋体"/>
                <w:b w:val="0"/>
                <w:bCs/>
                <w:i w:val="0"/>
              </w:rPr>
            </w:pPr>
            <w:r>
              <w:rPr>
                <w:rFonts w:hint="default" w:ascii="Times New Roman" w:hAnsi="Times New Roman" w:eastAsia="宋体"/>
                <w:b w:val="0"/>
                <w:bCs/>
                <w:i w:val="0"/>
              </w:rPr>
              <w:t>管道状态描述</w:t>
            </w:r>
          </w:p>
        </w:tc>
      </w:tr>
      <w:tr w14:paraId="7F4EBF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left w:val="nil"/>
              <w:bottom w:val="nil"/>
              <w:right w:val="nil"/>
            </w:tcBorders>
            <w:vAlign w:val="center"/>
          </w:tcPr>
          <w:p w14:paraId="0D814038">
            <w:pPr>
              <w:pStyle w:val="30"/>
              <w:rPr>
                <w:bCs/>
              </w:rPr>
            </w:pPr>
            <w:r>
              <w:rPr>
                <w:bCs/>
              </w:rPr>
              <w:t>红色</w:t>
            </w:r>
          </w:p>
        </w:tc>
        <w:tc>
          <w:tcPr>
            <w:tcW w:w="0" w:type="auto"/>
            <w:tcBorders>
              <w:top w:val="single" w:color="auto" w:sz="4" w:space="0"/>
              <w:left w:val="nil"/>
              <w:bottom w:val="nil"/>
              <w:right w:val="nil"/>
            </w:tcBorders>
            <w:vAlign w:val="center"/>
          </w:tcPr>
          <w:p w14:paraId="328958F2">
            <w:pPr>
              <w:pStyle w:val="30"/>
              <w:rPr>
                <w:bCs/>
              </w:rPr>
            </w:pPr>
            <w:r>
              <w:rPr>
                <w:bCs/>
              </w:rPr>
              <w:t>H/D &gt; 15%</w:t>
            </w:r>
          </w:p>
        </w:tc>
        <w:tc>
          <w:tcPr>
            <w:tcW w:w="0" w:type="auto"/>
            <w:tcBorders>
              <w:top w:val="single" w:color="auto" w:sz="4" w:space="0"/>
              <w:left w:val="nil"/>
              <w:bottom w:val="nil"/>
              <w:right w:val="nil"/>
            </w:tcBorders>
            <w:vAlign w:val="center"/>
          </w:tcPr>
          <w:p w14:paraId="5A260305">
            <w:pPr>
              <w:pStyle w:val="30"/>
              <w:rPr>
                <w:bCs/>
              </w:rPr>
            </w:pPr>
            <w:r>
              <w:rPr>
                <w:bCs/>
              </w:rPr>
              <w:t>过流能力严重丧失</w:t>
            </w:r>
          </w:p>
        </w:tc>
      </w:tr>
      <w:tr w14:paraId="4F2EE7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14:paraId="0B06B5BF">
            <w:pPr>
              <w:pStyle w:val="30"/>
              <w:rPr>
                <w:bCs/>
              </w:rPr>
            </w:pPr>
            <w:r>
              <w:rPr>
                <w:bCs/>
              </w:rPr>
              <w:t>橙色</w:t>
            </w:r>
          </w:p>
        </w:tc>
        <w:tc>
          <w:tcPr>
            <w:tcW w:w="0" w:type="auto"/>
            <w:tcBorders>
              <w:top w:val="nil"/>
              <w:left w:val="nil"/>
              <w:bottom w:val="nil"/>
              <w:right w:val="nil"/>
            </w:tcBorders>
            <w:vAlign w:val="center"/>
          </w:tcPr>
          <w:p w14:paraId="1B771DC1">
            <w:pPr>
              <w:pStyle w:val="30"/>
              <w:rPr>
                <w:bCs/>
              </w:rPr>
            </w:pPr>
            <w:r>
              <w:rPr>
                <w:bCs/>
              </w:rPr>
              <w:t>10% &lt; H/D ≤ 15%</w:t>
            </w:r>
          </w:p>
        </w:tc>
        <w:tc>
          <w:tcPr>
            <w:tcW w:w="0" w:type="auto"/>
            <w:tcBorders>
              <w:top w:val="nil"/>
              <w:left w:val="nil"/>
              <w:bottom w:val="nil"/>
              <w:right w:val="nil"/>
            </w:tcBorders>
            <w:vAlign w:val="center"/>
          </w:tcPr>
          <w:p w14:paraId="43BD45E3">
            <w:pPr>
              <w:pStyle w:val="30"/>
              <w:rPr>
                <w:bCs/>
              </w:rPr>
            </w:pPr>
            <w:r>
              <w:rPr>
                <w:bCs/>
              </w:rPr>
              <w:t>过流能力明显下降，需安排清淤</w:t>
            </w:r>
          </w:p>
        </w:tc>
      </w:tr>
      <w:tr w14:paraId="7F1B9D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14:paraId="5585A1AE">
            <w:pPr>
              <w:pStyle w:val="30"/>
              <w:rPr>
                <w:bCs/>
              </w:rPr>
            </w:pPr>
            <w:r>
              <w:rPr>
                <w:bCs/>
              </w:rPr>
              <w:t>黄色</w:t>
            </w:r>
          </w:p>
        </w:tc>
        <w:tc>
          <w:tcPr>
            <w:tcW w:w="0" w:type="auto"/>
            <w:tcBorders>
              <w:top w:val="nil"/>
              <w:left w:val="nil"/>
              <w:bottom w:val="nil"/>
              <w:right w:val="nil"/>
            </w:tcBorders>
            <w:vAlign w:val="center"/>
          </w:tcPr>
          <w:p w14:paraId="02987DD6">
            <w:pPr>
              <w:pStyle w:val="30"/>
              <w:rPr>
                <w:bCs/>
              </w:rPr>
            </w:pPr>
            <w:r>
              <w:rPr>
                <w:bCs/>
              </w:rPr>
              <w:t>5% &lt; H/D ≤ 10%</w:t>
            </w:r>
          </w:p>
        </w:tc>
        <w:tc>
          <w:tcPr>
            <w:tcW w:w="0" w:type="auto"/>
            <w:tcBorders>
              <w:top w:val="nil"/>
              <w:left w:val="nil"/>
              <w:bottom w:val="nil"/>
              <w:right w:val="nil"/>
            </w:tcBorders>
            <w:vAlign w:val="center"/>
          </w:tcPr>
          <w:p w14:paraId="2F202441">
            <w:pPr>
              <w:pStyle w:val="30"/>
              <w:rPr>
                <w:bCs/>
              </w:rPr>
            </w:pPr>
            <w:r>
              <w:rPr>
                <w:bCs/>
              </w:rPr>
              <w:t>存在淤积趋势，需持续监测</w:t>
            </w:r>
          </w:p>
        </w:tc>
      </w:tr>
      <w:tr w14:paraId="07D1B4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single" w:color="auto" w:sz="12" w:space="0"/>
              <w:right w:val="nil"/>
            </w:tcBorders>
            <w:vAlign w:val="center"/>
          </w:tcPr>
          <w:p w14:paraId="616B4263">
            <w:pPr>
              <w:pStyle w:val="30"/>
              <w:rPr>
                <w:bCs/>
              </w:rPr>
            </w:pPr>
            <w:r>
              <w:rPr>
                <w:bCs/>
              </w:rPr>
              <w:t>蓝色</w:t>
            </w:r>
          </w:p>
        </w:tc>
        <w:tc>
          <w:tcPr>
            <w:tcW w:w="0" w:type="auto"/>
            <w:tcBorders>
              <w:top w:val="nil"/>
              <w:left w:val="nil"/>
              <w:bottom w:val="single" w:color="auto" w:sz="12" w:space="0"/>
              <w:right w:val="nil"/>
            </w:tcBorders>
            <w:vAlign w:val="center"/>
          </w:tcPr>
          <w:p w14:paraId="6ADEB018">
            <w:pPr>
              <w:pStyle w:val="30"/>
              <w:rPr>
                <w:bCs/>
              </w:rPr>
            </w:pPr>
            <w:r>
              <w:rPr>
                <w:bCs/>
              </w:rPr>
              <w:t>H/D ≤ 5%</w:t>
            </w:r>
          </w:p>
        </w:tc>
        <w:tc>
          <w:tcPr>
            <w:tcW w:w="0" w:type="auto"/>
            <w:tcBorders>
              <w:top w:val="nil"/>
              <w:left w:val="nil"/>
              <w:bottom w:val="single" w:color="auto" w:sz="12" w:space="0"/>
              <w:right w:val="nil"/>
            </w:tcBorders>
            <w:vAlign w:val="center"/>
          </w:tcPr>
          <w:p w14:paraId="7C168AA4">
            <w:pPr>
              <w:pStyle w:val="30"/>
              <w:rPr>
                <w:bCs/>
              </w:rPr>
            </w:pPr>
            <w:r>
              <w:rPr>
                <w:bCs/>
              </w:rPr>
              <w:t>过流能力正常</w:t>
            </w:r>
          </w:p>
        </w:tc>
      </w:tr>
    </w:tbl>
    <w:p w14:paraId="5CB48D9B">
      <w:pPr>
        <w:pStyle w:val="29"/>
        <w:rPr>
          <w:bCs/>
        </w:rPr>
      </w:pPr>
    </w:p>
    <w:p w14:paraId="2E71CEF4">
      <w:pPr>
        <w:pStyle w:val="29"/>
        <w:rPr>
          <w:bCs/>
        </w:rPr>
      </w:pPr>
    </w:p>
    <w:p w14:paraId="07AA75C5">
      <w:pPr>
        <w:pStyle w:val="29"/>
        <w:rPr>
          <w:bCs/>
        </w:rPr>
      </w:pPr>
    </w:p>
    <w:p w14:paraId="13098D7A">
      <w:pPr>
        <w:pStyle w:val="29"/>
        <w:rPr>
          <w:rFonts w:hint="eastAsia"/>
          <w:bCs/>
        </w:rPr>
      </w:pPr>
      <w:r>
        <w:rPr>
          <w:bCs/>
        </w:rPr>
        <w:t>表A.5 结构安全性定色标准</w:t>
      </w:r>
    </w:p>
    <w:tbl>
      <w:tblPr>
        <w:tblStyle w:val="6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6"/>
        <w:gridCol w:w="1360"/>
        <w:gridCol w:w="1255"/>
        <w:gridCol w:w="4416"/>
      </w:tblGrid>
      <w:tr w14:paraId="2948F3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12" w:space="0"/>
              <w:left w:val="nil"/>
              <w:bottom w:val="single" w:color="auto" w:sz="4" w:space="0"/>
              <w:right w:val="nil"/>
              <w:insideH w:val="single" w:sz="4" w:space="0"/>
            </w:tcBorders>
            <w:vAlign w:val="center"/>
          </w:tcPr>
          <w:p w14:paraId="70853086">
            <w:pPr>
              <w:pStyle w:val="30"/>
              <w:rPr>
                <w:rFonts w:hint="default" w:ascii="Times New Roman" w:hAnsi="Times New Roman" w:eastAsia="宋体"/>
                <w:b w:val="0"/>
                <w:bCs/>
                <w:i w:val="0"/>
              </w:rPr>
            </w:pPr>
            <w:r>
              <w:rPr>
                <w:rFonts w:hint="default" w:ascii="Times New Roman" w:hAnsi="Times New Roman" w:eastAsia="宋体"/>
                <w:b w:val="0"/>
                <w:bCs/>
                <w:i w:val="0"/>
              </w:rPr>
              <w:t>风险等级</w:t>
            </w:r>
          </w:p>
        </w:tc>
        <w:tc>
          <w:tcPr>
            <w:tcW w:w="0" w:type="auto"/>
            <w:tcBorders>
              <w:top w:val="single" w:color="auto" w:sz="12" w:space="0"/>
              <w:left w:val="nil"/>
              <w:bottom w:val="single" w:color="auto" w:sz="4" w:space="0"/>
              <w:right w:val="nil"/>
              <w:insideH w:val="single" w:sz="4" w:space="0"/>
            </w:tcBorders>
            <w:vAlign w:val="center"/>
          </w:tcPr>
          <w:p w14:paraId="40A36F27">
            <w:pPr>
              <w:pStyle w:val="30"/>
              <w:rPr>
                <w:rFonts w:hint="default" w:ascii="Times New Roman" w:hAnsi="Times New Roman" w:eastAsia="宋体"/>
                <w:b w:val="0"/>
                <w:bCs/>
                <w:i w:val="0"/>
              </w:rPr>
            </w:pPr>
            <w:r>
              <w:rPr>
                <w:rFonts w:hint="default" w:ascii="Times New Roman" w:hAnsi="Times New Roman" w:eastAsia="宋体"/>
                <w:b w:val="0"/>
                <w:bCs/>
                <w:i w:val="0"/>
              </w:rPr>
              <w:t>水平位移</w:t>
            </w:r>
          </w:p>
        </w:tc>
        <w:tc>
          <w:tcPr>
            <w:tcW w:w="0" w:type="auto"/>
            <w:tcBorders>
              <w:top w:val="single" w:color="auto" w:sz="12" w:space="0"/>
              <w:left w:val="nil"/>
              <w:bottom w:val="single" w:color="auto" w:sz="4" w:space="0"/>
              <w:right w:val="nil"/>
              <w:insideH w:val="single" w:sz="4" w:space="0"/>
            </w:tcBorders>
            <w:vAlign w:val="center"/>
          </w:tcPr>
          <w:p w14:paraId="58EC095A">
            <w:pPr>
              <w:pStyle w:val="30"/>
              <w:rPr>
                <w:rFonts w:hint="default" w:ascii="Times New Roman" w:hAnsi="Times New Roman" w:eastAsia="宋体"/>
                <w:b w:val="0"/>
                <w:bCs/>
                <w:i w:val="0"/>
              </w:rPr>
            </w:pPr>
            <w:r>
              <w:rPr>
                <w:rFonts w:hint="default" w:ascii="Times New Roman" w:hAnsi="Times New Roman" w:eastAsia="宋体"/>
                <w:b w:val="0"/>
                <w:bCs/>
                <w:i w:val="0"/>
              </w:rPr>
              <w:t>竖向沉降</w:t>
            </w:r>
          </w:p>
        </w:tc>
        <w:tc>
          <w:tcPr>
            <w:tcW w:w="0" w:type="auto"/>
            <w:tcBorders>
              <w:top w:val="single" w:color="auto" w:sz="12" w:space="0"/>
              <w:left w:val="nil"/>
              <w:bottom w:val="single" w:color="auto" w:sz="4" w:space="0"/>
              <w:right w:val="nil"/>
              <w:insideH w:val="single" w:sz="4" w:space="0"/>
            </w:tcBorders>
            <w:vAlign w:val="center"/>
          </w:tcPr>
          <w:p w14:paraId="722FA7E5">
            <w:pPr>
              <w:pStyle w:val="30"/>
              <w:rPr>
                <w:rFonts w:hint="default" w:ascii="Times New Roman" w:hAnsi="Times New Roman" w:eastAsia="宋体"/>
                <w:b w:val="0"/>
                <w:bCs/>
                <w:i w:val="0"/>
              </w:rPr>
            </w:pPr>
            <w:r>
              <w:rPr>
                <w:rFonts w:hint="default" w:ascii="Times New Roman" w:hAnsi="Times New Roman" w:eastAsia="宋体"/>
                <w:b w:val="0"/>
                <w:bCs/>
                <w:i w:val="0"/>
              </w:rPr>
              <w:t>管道状态描述</w:t>
            </w:r>
          </w:p>
        </w:tc>
      </w:tr>
      <w:tr w14:paraId="329318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left w:val="nil"/>
              <w:bottom w:val="nil"/>
              <w:right w:val="nil"/>
            </w:tcBorders>
            <w:vAlign w:val="center"/>
          </w:tcPr>
          <w:p w14:paraId="6EA31079">
            <w:pPr>
              <w:pStyle w:val="30"/>
              <w:rPr>
                <w:bCs/>
              </w:rPr>
            </w:pPr>
            <w:r>
              <w:rPr>
                <w:bCs/>
              </w:rPr>
              <w:t>红色</w:t>
            </w:r>
          </w:p>
        </w:tc>
        <w:tc>
          <w:tcPr>
            <w:tcW w:w="0" w:type="auto"/>
            <w:tcBorders>
              <w:top w:val="single" w:color="auto" w:sz="4" w:space="0"/>
              <w:left w:val="nil"/>
              <w:bottom w:val="nil"/>
              <w:right w:val="nil"/>
            </w:tcBorders>
            <w:vAlign w:val="center"/>
          </w:tcPr>
          <w:p w14:paraId="00BBDE9B">
            <w:pPr>
              <w:pStyle w:val="30"/>
              <w:rPr>
                <w:bCs/>
              </w:rPr>
            </w:pPr>
            <w:r>
              <w:rPr>
                <w:bCs/>
              </w:rPr>
              <w:t>&gt;10 cm</w:t>
            </w:r>
          </w:p>
        </w:tc>
        <w:tc>
          <w:tcPr>
            <w:tcW w:w="0" w:type="auto"/>
            <w:tcBorders>
              <w:top w:val="single" w:color="auto" w:sz="4" w:space="0"/>
              <w:left w:val="nil"/>
              <w:bottom w:val="nil"/>
              <w:right w:val="nil"/>
            </w:tcBorders>
            <w:vAlign w:val="center"/>
          </w:tcPr>
          <w:p w14:paraId="4257A278">
            <w:pPr>
              <w:pStyle w:val="30"/>
              <w:rPr>
                <w:bCs/>
              </w:rPr>
            </w:pPr>
            <w:r>
              <w:rPr>
                <w:bCs/>
              </w:rPr>
              <w:t>&gt;5 cm</w:t>
            </w:r>
          </w:p>
        </w:tc>
        <w:tc>
          <w:tcPr>
            <w:tcW w:w="0" w:type="auto"/>
            <w:tcBorders>
              <w:top w:val="single" w:color="auto" w:sz="4" w:space="0"/>
              <w:left w:val="nil"/>
              <w:bottom w:val="nil"/>
              <w:right w:val="nil"/>
            </w:tcBorders>
            <w:vAlign w:val="center"/>
          </w:tcPr>
          <w:p w14:paraId="3700BE58">
            <w:pPr>
              <w:pStyle w:val="30"/>
              <w:rPr>
                <w:bCs/>
              </w:rPr>
            </w:pPr>
            <w:r>
              <w:rPr>
                <w:bCs/>
              </w:rPr>
              <w:t>接口脱开或管道明显变形，结构失稳风险极高</w:t>
            </w:r>
          </w:p>
        </w:tc>
      </w:tr>
      <w:tr w14:paraId="2458B5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14:paraId="50285A7B">
            <w:pPr>
              <w:pStyle w:val="30"/>
              <w:rPr>
                <w:bCs/>
              </w:rPr>
            </w:pPr>
            <w:r>
              <w:rPr>
                <w:bCs/>
              </w:rPr>
              <w:t>橙色</w:t>
            </w:r>
          </w:p>
        </w:tc>
        <w:tc>
          <w:tcPr>
            <w:tcW w:w="0" w:type="auto"/>
            <w:tcBorders>
              <w:top w:val="nil"/>
              <w:left w:val="nil"/>
              <w:bottom w:val="nil"/>
              <w:right w:val="nil"/>
            </w:tcBorders>
            <w:vAlign w:val="center"/>
          </w:tcPr>
          <w:p w14:paraId="37240264">
            <w:pPr>
              <w:pStyle w:val="30"/>
              <w:rPr>
                <w:bCs/>
              </w:rPr>
            </w:pPr>
            <w:r>
              <w:rPr>
                <w:bCs/>
              </w:rPr>
              <w:t>3 cm～10 cm</w:t>
            </w:r>
          </w:p>
        </w:tc>
        <w:tc>
          <w:tcPr>
            <w:tcW w:w="0" w:type="auto"/>
            <w:tcBorders>
              <w:top w:val="nil"/>
              <w:left w:val="nil"/>
              <w:bottom w:val="nil"/>
              <w:right w:val="nil"/>
            </w:tcBorders>
            <w:vAlign w:val="center"/>
          </w:tcPr>
          <w:p w14:paraId="7B7C8AC5">
            <w:pPr>
              <w:pStyle w:val="30"/>
              <w:rPr>
                <w:bCs/>
              </w:rPr>
            </w:pPr>
            <w:r>
              <w:rPr>
                <w:bCs/>
              </w:rPr>
              <w:t>2 cm～5 cm</w:t>
            </w:r>
          </w:p>
        </w:tc>
        <w:tc>
          <w:tcPr>
            <w:tcW w:w="0" w:type="auto"/>
            <w:tcBorders>
              <w:top w:val="nil"/>
              <w:left w:val="nil"/>
              <w:bottom w:val="nil"/>
              <w:right w:val="nil"/>
            </w:tcBorders>
            <w:vAlign w:val="center"/>
          </w:tcPr>
          <w:p w14:paraId="73E49C9A">
            <w:pPr>
              <w:pStyle w:val="30"/>
              <w:rPr>
                <w:bCs/>
              </w:rPr>
            </w:pPr>
            <w:r>
              <w:rPr>
                <w:bCs/>
              </w:rPr>
              <w:t>位移持续发展，需立即加固</w:t>
            </w:r>
          </w:p>
        </w:tc>
      </w:tr>
      <w:tr w14:paraId="3BB6D4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nil"/>
              <w:right w:val="nil"/>
            </w:tcBorders>
            <w:vAlign w:val="center"/>
          </w:tcPr>
          <w:p w14:paraId="7A3DD5A7">
            <w:pPr>
              <w:pStyle w:val="30"/>
              <w:rPr>
                <w:bCs/>
              </w:rPr>
            </w:pPr>
            <w:r>
              <w:rPr>
                <w:bCs/>
              </w:rPr>
              <w:t>黄色</w:t>
            </w:r>
          </w:p>
        </w:tc>
        <w:tc>
          <w:tcPr>
            <w:tcW w:w="0" w:type="auto"/>
            <w:tcBorders>
              <w:top w:val="nil"/>
              <w:left w:val="nil"/>
              <w:bottom w:val="nil"/>
              <w:right w:val="nil"/>
            </w:tcBorders>
            <w:vAlign w:val="center"/>
          </w:tcPr>
          <w:p w14:paraId="313A6FE4">
            <w:pPr>
              <w:pStyle w:val="30"/>
              <w:rPr>
                <w:bCs/>
              </w:rPr>
            </w:pPr>
            <w:r>
              <w:rPr>
                <w:bCs/>
              </w:rPr>
              <w:t>1 cm～3 cm</w:t>
            </w:r>
          </w:p>
        </w:tc>
        <w:tc>
          <w:tcPr>
            <w:tcW w:w="0" w:type="auto"/>
            <w:tcBorders>
              <w:top w:val="nil"/>
              <w:left w:val="nil"/>
              <w:bottom w:val="nil"/>
              <w:right w:val="nil"/>
            </w:tcBorders>
            <w:vAlign w:val="center"/>
          </w:tcPr>
          <w:p w14:paraId="29E339FF">
            <w:pPr>
              <w:pStyle w:val="30"/>
              <w:rPr>
                <w:bCs/>
              </w:rPr>
            </w:pPr>
            <w:r>
              <w:rPr>
                <w:bCs/>
              </w:rPr>
              <w:t>1 cm～2 cm</w:t>
            </w:r>
          </w:p>
        </w:tc>
        <w:tc>
          <w:tcPr>
            <w:tcW w:w="0" w:type="auto"/>
            <w:tcBorders>
              <w:top w:val="nil"/>
              <w:left w:val="nil"/>
              <w:bottom w:val="nil"/>
              <w:right w:val="nil"/>
            </w:tcBorders>
            <w:vAlign w:val="center"/>
          </w:tcPr>
          <w:p w14:paraId="0D34C002">
            <w:pPr>
              <w:pStyle w:val="30"/>
              <w:rPr>
                <w:bCs/>
              </w:rPr>
            </w:pPr>
            <w:r>
              <w:rPr>
                <w:bCs/>
              </w:rPr>
              <w:t>位移趋势明显，需持续监测</w:t>
            </w:r>
          </w:p>
        </w:tc>
      </w:tr>
      <w:tr w14:paraId="7C2B0F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single" w:color="auto" w:sz="12" w:space="0"/>
              <w:right w:val="nil"/>
            </w:tcBorders>
            <w:vAlign w:val="center"/>
          </w:tcPr>
          <w:p w14:paraId="700079A4">
            <w:pPr>
              <w:pStyle w:val="30"/>
              <w:rPr>
                <w:bCs/>
              </w:rPr>
            </w:pPr>
            <w:r>
              <w:rPr>
                <w:bCs/>
              </w:rPr>
              <w:t>蓝色</w:t>
            </w:r>
          </w:p>
        </w:tc>
        <w:tc>
          <w:tcPr>
            <w:tcW w:w="0" w:type="auto"/>
            <w:tcBorders>
              <w:top w:val="nil"/>
              <w:left w:val="nil"/>
              <w:bottom w:val="single" w:color="auto" w:sz="12" w:space="0"/>
              <w:right w:val="nil"/>
            </w:tcBorders>
            <w:vAlign w:val="center"/>
          </w:tcPr>
          <w:p w14:paraId="5D47882E">
            <w:pPr>
              <w:pStyle w:val="30"/>
              <w:rPr>
                <w:bCs/>
              </w:rPr>
            </w:pPr>
            <w:r>
              <w:rPr>
                <w:bCs/>
              </w:rPr>
              <w:t>&lt;1 cm</w:t>
            </w:r>
          </w:p>
        </w:tc>
        <w:tc>
          <w:tcPr>
            <w:tcW w:w="0" w:type="auto"/>
            <w:tcBorders>
              <w:top w:val="nil"/>
              <w:left w:val="nil"/>
              <w:bottom w:val="single" w:color="auto" w:sz="12" w:space="0"/>
              <w:right w:val="nil"/>
            </w:tcBorders>
            <w:vAlign w:val="center"/>
          </w:tcPr>
          <w:p w14:paraId="1C403371">
            <w:pPr>
              <w:pStyle w:val="30"/>
              <w:rPr>
                <w:bCs/>
              </w:rPr>
            </w:pPr>
            <w:r>
              <w:rPr>
                <w:bCs/>
              </w:rPr>
              <w:t>&lt;1 cm</w:t>
            </w:r>
          </w:p>
        </w:tc>
        <w:tc>
          <w:tcPr>
            <w:tcW w:w="0" w:type="auto"/>
            <w:tcBorders>
              <w:top w:val="nil"/>
              <w:left w:val="nil"/>
              <w:bottom w:val="single" w:color="auto" w:sz="12" w:space="0"/>
              <w:right w:val="nil"/>
            </w:tcBorders>
            <w:vAlign w:val="center"/>
          </w:tcPr>
          <w:p w14:paraId="66022AA6">
            <w:pPr>
              <w:pStyle w:val="30"/>
              <w:rPr>
                <w:bCs/>
              </w:rPr>
            </w:pPr>
            <w:r>
              <w:rPr>
                <w:bCs/>
              </w:rPr>
              <w:t>结构稳定</w:t>
            </w:r>
          </w:p>
        </w:tc>
      </w:tr>
    </w:tbl>
    <w:p w14:paraId="1B09073C">
      <w:pPr>
        <w:ind w:firstLine="420"/>
        <w:rPr>
          <w:shd w:val="clear" w:color="auto" w:fill="FFFFFF"/>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0916C">
    <w:pPr>
      <w:pStyle w:val="9"/>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2D49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2FEB1">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180686"/>
    </w:sdtPr>
    <w:sdtEndPr>
      <w:rPr>
        <w:sz w:val="21"/>
        <w:szCs w:val="21"/>
      </w:rPr>
    </w:sdtEndPr>
    <w:sdtContent>
      <w:p w14:paraId="38A061CE">
        <w:pPr>
          <w:pStyle w:val="9"/>
          <w:ind w:firstLine="0" w:firstLineChars="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7</w:t>
        </w:r>
        <w:r>
          <w:rPr>
            <w:sz w:val="21"/>
            <w:szCs w:val="21"/>
          </w:rPr>
          <w:fldChar w:fldCharType="end"/>
        </w:r>
      </w:p>
    </w:sdtContent>
  </w:sdt>
  <w:p w14:paraId="7BD4FEBD">
    <w:pPr>
      <w:pStyle w:val="9"/>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8FF8">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6830470"/>
    </w:sdtPr>
    <w:sdtEndPr>
      <w:rPr>
        <w:sz w:val="21"/>
        <w:szCs w:val="21"/>
      </w:rPr>
    </w:sdtEndPr>
    <w:sdtContent>
      <w:p w14:paraId="3C75B17A">
        <w:pPr>
          <w:pStyle w:val="9"/>
          <w:ind w:firstLine="0" w:firstLineChars="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6</w:t>
        </w:r>
        <w:r>
          <w:rPr>
            <w:sz w:val="21"/>
            <w:szCs w:val="21"/>
          </w:rPr>
          <w:fldChar w:fldCharType="end"/>
        </w:r>
      </w:p>
    </w:sdtContent>
  </w:sdt>
  <w:p w14:paraId="0A26620D">
    <w:pPr>
      <w:pStyle w:val="9"/>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4D41">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8AD51">
    <w:pPr>
      <w:pStyle w:val="10"/>
      <w:pBdr>
        <w:bottom w:val="none" w:color="auto" w:sz="0" w:space="0"/>
      </w:pBdr>
      <w:ind w:firstLine="7020" w:firstLineChars="3900"/>
      <w:jc w:val="left"/>
    </w:pPr>
    <w:r>
      <w:t>T/</w:t>
    </w:r>
    <w:r>
      <w:rPr>
        <w:rFonts w:hint="eastAsia"/>
      </w:rPr>
      <w:t>JSGS</w:t>
    </w:r>
    <w:r>
      <w:t xml:space="preserve"> XX-202</w:t>
    </w:r>
    <w:r>
      <w:rPr>
        <w:rFonts w:hint="eastAsia"/>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258D1">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34CD2">
    <w:pPr>
      <w:pStyle w:val="10"/>
      <w:pBdr>
        <w:bottom w:val="none" w:color="auto" w:sz="0" w:space="0"/>
      </w:pBdr>
      <w:tabs>
        <w:tab w:val="center" w:pos="4333"/>
      </w:tabs>
      <w:ind w:firstLine="360"/>
      <w:jc w:val="right"/>
      <w:rPr>
        <w:rFonts w:cs="Times New Roman"/>
      </w:rPr>
    </w:pPr>
    <w:r>
      <w:rPr>
        <w:rFonts w:cs="Times New Roman"/>
      </w:rPr>
      <w:tab/>
    </w:r>
    <w:r>
      <w:rPr>
        <w:rFonts w:cs="Times New Roman"/>
      </w:rPr>
      <w:tab/>
    </w:r>
    <w:r>
      <w:rPr>
        <w:rFonts w:cs="Times New Roman"/>
      </w:rPr>
      <w:t>T/CHES XX-202</w:t>
    </w:r>
    <w:r>
      <w:rPr>
        <w:rFonts w:hint="eastAsia" w:cs="Times New Roman"/>
      </w:rP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5378E">
    <w:pPr>
      <w:pStyle w:val="10"/>
      <w:pBdr>
        <w:bottom w:val="none" w:color="auto" w:sz="0" w:space="0"/>
      </w:pBdr>
      <w:ind w:firstLine="360"/>
      <w:jc w:val="right"/>
      <w:rPr>
        <w:rFonts w:cs="Times New Roman"/>
      </w:rPr>
    </w:pPr>
    <w:r>
      <w:rPr>
        <w:rFonts w:cs="Times New Roman"/>
      </w:rPr>
      <w:t>T/</w:t>
    </w:r>
    <w:r>
      <w:rPr>
        <w:rFonts w:hint="eastAsia" w:cs="Times New Roman"/>
      </w:rPr>
      <w:t>JSGS</w:t>
    </w:r>
    <w:r>
      <w:rPr>
        <w:rFonts w:cs="Times New Roman"/>
      </w:rPr>
      <w:t xml:space="preserve"> XX-202</w:t>
    </w:r>
    <w:r>
      <w:rPr>
        <w:rFonts w:hint="eastAsia" w:cs="Times New Roma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F45FA"/>
    <w:multiLevelType w:val="multilevel"/>
    <w:tmpl w:val="E1EF45FA"/>
    <w:lvl w:ilvl="0" w:tentative="0">
      <w:start w:val="1"/>
      <w:numFmt w:val="decimal"/>
      <w:lvlText w:val="%1)"/>
      <w:lvlJc w:val="left"/>
      <w:pPr>
        <w:ind w:left="639" w:hanging="440"/>
      </w:pPr>
    </w:lvl>
    <w:lvl w:ilvl="1" w:tentative="0">
      <w:start w:val="1"/>
      <w:numFmt w:val="lowerLetter"/>
      <w:lvlText w:val="%2)"/>
      <w:lvlJc w:val="left"/>
      <w:pPr>
        <w:ind w:left="1079" w:hanging="440"/>
      </w:pPr>
    </w:lvl>
    <w:lvl w:ilvl="2" w:tentative="0">
      <w:start w:val="1"/>
      <w:numFmt w:val="lowerRoman"/>
      <w:lvlText w:val="%3."/>
      <w:lvlJc w:val="right"/>
      <w:pPr>
        <w:ind w:left="1519" w:hanging="440"/>
      </w:pPr>
    </w:lvl>
    <w:lvl w:ilvl="3" w:tentative="0">
      <w:start w:val="1"/>
      <w:numFmt w:val="decimal"/>
      <w:lvlText w:val="%4."/>
      <w:lvlJc w:val="left"/>
      <w:pPr>
        <w:ind w:left="1959" w:hanging="440"/>
      </w:pPr>
    </w:lvl>
    <w:lvl w:ilvl="4" w:tentative="0">
      <w:start w:val="1"/>
      <w:numFmt w:val="lowerLetter"/>
      <w:lvlText w:val="%5)"/>
      <w:lvlJc w:val="left"/>
      <w:pPr>
        <w:ind w:left="2399" w:hanging="440"/>
      </w:pPr>
    </w:lvl>
    <w:lvl w:ilvl="5" w:tentative="0">
      <w:start w:val="1"/>
      <w:numFmt w:val="lowerRoman"/>
      <w:lvlText w:val="%6."/>
      <w:lvlJc w:val="right"/>
      <w:pPr>
        <w:ind w:left="2839" w:hanging="440"/>
      </w:pPr>
    </w:lvl>
    <w:lvl w:ilvl="6" w:tentative="0">
      <w:start w:val="1"/>
      <w:numFmt w:val="decimal"/>
      <w:lvlText w:val="%7."/>
      <w:lvlJc w:val="left"/>
      <w:pPr>
        <w:ind w:left="3279" w:hanging="440"/>
      </w:pPr>
    </w:lvl>
    <w:lvl w:ilvl="7" w:tentative="0">
      <w:start w:val="1"/>
      <w:numFmt w:val="lowerLetter"/>
      <w:lvlText w:val="%8)"/>
      <w:lvlJc w:val="left"/>
      <w:pPr>
        <w:ind w:left="3719" w:hanging="440"/>
      </w:pPr>
    </w:lvl>
    <w:lvl w:ilvl="8" w:tentative="0">
      <w:start w:val="1"/>
      <w:numFmt w:val="lowerRoman"/>
      <w:lvlText w:val="%9."/>
      <w:lvlJc w:val="right"/>
      <w:pPr>
        <w:ind w:left="4159" w:hanging="440"/>
      </w:pPr>
    </w:lvl>
  </w:abstractNum>
  <w:abstractNum w:abstractNumId="1">
    <w:nsid w:val="003F1DB3"/>
    <w:multiLevelType w:val="multilevel"/>
    <w:tmpl w:val="003F1DB3"/>
    <w:lvl w:ilvl="0" w:tentative="0">
      <w:start w:val="1"/>
      <w:numFmt w:val="decimal"/>
      <w:lvlText w:val="6.3.%1"/>
      <w:lvlJc w:val="left"/>
      <w:pPr>
        <w:ind w:left="132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06B3A79"/>
    <w:multiLevelType w:val="multilevel"/>
    <w:tmpl w:val="006B3A79"/>
    <w:lvl w:ilvl="0" w:tentative="0">
      <w:start w:val="1"/>
      <w:numFmt w:val="decimal"/>
      <w:lvlText w:val="%1)"/>
      <w:lvlJc w:val="left"/>
      <w:pPr>
        <w:ind w:left="639" w:hanging="440"/>
      </w:pPr>
    </w:lvl>
    <w:lvl w:ilvl="1" w:tentative="0">
      <w:start w:val="1"/>
      <w:numFmt w:val="lowerLetter"/>
      <w:lvlText w:val="%2)"/>
      <w:lvlJc w:val="left"/>
      <w:pPr>
        <w:ind w:left="1079" w:hanging="440"/>
      </w:pPr>
    </w:lvl>
    <w:lvl w:ilvl="2" w:tentative="0">
      <w:start w:val="1"/>
      <w:numFmt w:val="lowerRoman"/>
      <w:lvlText w:val="%3."/>
      <w:lvlJc w:val="right"/>
      <w:pPr>
        <w:ind w:left="1519" w:hanging="440"/>
      </w:pPr>
    </w:lvl>
    <w:lvl w:ilvl="3" w:tentative="0">
      <w:start w:val="1"/>
      <w:numFmt w:val="decimal"/>
      <w:lvlText w:val="%4."/>
      <w:lvlJc w:val="left"/>
      <w:pPr>
        <w:ind w:left="1959" w:hanging="440"/>
      </w:pPr>
    </w:lvl>
    <w:lvl w:ilvl="4" w:tentative="0">
      <w:start w:val="1"/>
      <w:numFmt w:val="lowerLetter"/>
      <w:lvlText w:val="%5)"/>
      <w:lvlJc w:val="left"/>
      <w:pPr>
        <w:ind w:left="2399" w:hanging="440"/>
      </w:pPr>
    </w:lvl>
    <w:lvl w:ilvl="5" w:tentative="0">
      <w:start w:val="1"/>
      <w:numFmt w:val="lowerRoman"/>
      <w:lvlText w:val="%6."/>
      <w:lvlJc w:val="right"/>
      <w:pPr>
        <w:ind w:left="2839" w:hanging="440"/>
      </w:pPr>
    </w:lvl>
    <w:lvl w:ilvl="6" w:tentative="0">
      <w:start w:val="1"/>
      <w:numFmt w:val="decimal"/>
      <w:lvlText w:val="%7."/>
      <w:lvlJc w:val="left"/>
      <w:pPr>
        <w:ind w:left="3279" w:hanging="440"/>
      </w:pPr>
    </w:lvl>
    <w:lvl w:ilvl="7" w:tentative="0">
      <w:start w:val="1"/>
      <w:numFmt w:val="lowerLetter"/>
      <w:lvlText w:val="%8)"/>
      <w:lvlJc w:val="left"/>
      <w:pPr>
        <w:ind w:left="3719" w:hanging="440"/>
      </w:pPr>
    </w:lvl>
    <w:lvl w:ilvl="8" w:tentative="0">
      <w:start w:val="1"/>
      <w:numFmt w:val="lowerRoman"/>
      <w:lvlText w:val="%9."/>
      <w:lvlJc w:val="right"/>
      <w:pPr>
        <w:ind w:left="4159" w:hanging="440"/>
      </w:pPr>
    </w:lvl>
  </w:abstractNum>
  <w:abstractNum w:abstractNumId="3">
    <w:nsid w:val="048332F1"/>
    <w:multiLevelType w:val="multilevel"/>
    <w:tmpl w:val="048332F1"/>
    <w:lvl w:ilvl="0" w:tentative="0">
      <w:start w:val="1"/>
      <w:numFmt w:val="lowerLetter"/>
      <w:lvlText w:val="%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04944DD2"/>
    <w:multiLevelType w:val="multilevel"/>
    <w:tmpl w:val="04944DD2"/>
    <w:lvl w:ilvl="0" w:tentative="0">
      <w:start w:val="1"/>
      <w:numFmt w:val="decimal"/>
      <w:lvlText w:val="8.%1"/>
      <w:lvlJc w:val="left"/>
      <w:pPr>
        <w:ind w:left="88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5F82F7D"/>
    <w:multiLevelType w:val="multilevel"/>
    <w:tmpl w:val="05F82F7D"/>
    <w:lvl w:ilvl="0" w:tentative="0">
      <w:start w:val="1"/>
      <w:numFmt w:val="decimal"/>
      <w:lvlText w:val="3.%1"/>
      <w:lvlJc w:val="left"/>
      <w:pPr>
        <w:ind w:left="440" w:hanging="440"/>
      </w:pPr>
      <w:rPr>
        <w:rFonts w:hint="default" w:ascii="Times" w:hAnsi="Times"/>
        <w:b w:val="0"/>
        <w:bCs w:val="0"/>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097E5433"/>
    <w:multiLevelType w:val="multilevel"/>
    <w:tmpl w:val="097E5433"/>
    <w:lvl w:ilvl="0" w:tentative="0">
      <w:start w:val="1"/>
      <w:numFmt w:val="decimal"/>
      <w:lvlText w:val="5.%1"/>
      <w:lvlJc w:val="left"/>
      <w:pPr>
        <w:ind w:left="86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0A934B3B"/>
    <w:multiLevelType w:val="multilevel"/>
    <w:tmpl w:val="0A934B3B"/>
    <w:lvl w:ilvl="0" w:tentative="0">
      <w:start w:val="1"/>
      <w:numFmt w:val="decimal"/>
      <w:lvlText w:val="9.2.%1"/>
      <w:lvlJc w:val="left"/>
      <w:pPr>
        <w:ind w:left="86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0BF43064"/>
    <w:multiLevelType w:val="multilevel"/>
    <w:tmpl w:val="0BF43064"/>
    <w:lvl w:ilvl="0" w:tentative="0">
      <w:start w:val="1"/>
      <w:numFmt w:val="decimal"/>
      <w:lvlText w:val="8.3.%1"/>
      <w:lvlJc w:val="left"/>
      <w:pPr>
        <w:ind w:left="860" w:hanging="440"/>
      </w:pPr>
      <w:rPr>
        <w:rFonts w:hint="default" w:ascii="Times" w:hAnsi="Times"/>
        <w:sz w:val="21"/>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9">
    <w:nsid w:val="11801609"/>
    <w:multiLevelType w:val="multilevel"/>
    <w:tmpl w:val="11801609"/>
    <w:lvl w:ilvl="0" w:tentative="0">
      <w:start w:val="1"/>
      <w:numFmt w:val="decimal"/>
      <w:lvlText w:val="7.3.%1"/>
      <w:lvlJc w:val="left"/>
      <w:pPr>
        <w:ind w:left="880" w:hanging="440"/>
      </w:pPr>
      <w:rPr>
        <w:rFonts w:hint="default" w:ascii="Times" w:hAnsi="Times"/>
        <w:sz w:val="21"/>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0">
    <w:nsid w:val="11E240F5"/>
    <w:multiLevelType w:val="multilevel"/>
    <w:tmpl w:val="11E240F5"/>
    <w:lvl w:ilvl="0" w:tentative="0">
      <w:start w:val="1"/>
      <w:numFmt w:val="decimal"/>
      <w:lvlText w:val="6.2.%1"/>
      <w:lvlJc w:val="left"/>
      <w:pPr>
        <w:ind w:left="132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158B3728"/>
    <w:multiLevelType w:val="multilevel"/>
    <w:tmpl w:val="158B3728"/>
    <w:lvl w:ilvl="0" w:tentative="0">
      <w:start w:val="1"/>
      <w:numFmt w:val="decimal"/>
      <w:lvlText w:val="7.5.%1"/>
      <w:lvlJc w:val="left"/>
      <w:pPr>
        <w:ind w:left="880" w:hanging="440"/>
      </w:pPr>
      <w:rPr>
        <w:rFonts w:hint="eastAsia"/>
        <w:sz w:val="21"/>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2">
    <w:nsid w:val="17B23F59"/>
    <w:multiLevelType w:val="multilevel"/>
    <w:tmpl w:val="17B23F59"/>
    <w:lvl w:ilvl="0" w:tentative="0">
      <w:start w:val="1"/>
      <w:numFmt w:val="decimal"/>
      <w:lvlText w:val="9.4.%1"/>
      <w:lvlJc w:val="left"/>
      <w:pPr>
        <w:ind w:left="1302" w:hanging="440"/>
      </w:pPr>
      <w:rPr>
        <w:rFonts w:hint="eastAsia"/>
      </w:rPr>
    </w:lvl>
    <w:lvl w:ilvl="1" w:tentative="0">
      <w:start w:val="1"/>
      <w:numFmt w:val="decimal"/>
      <w:lvlText w:val="9.4.%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17E85CD1"/>
    <w:multiLevelType w:val="multilevel"/>
    <w:tmpl w:val="17E85CD1"/>
    <w:lvl w:ilvl="0" w:tentative="0">
      <w:start w:val="1"/>
      <w:numFmt w:val="decimal"/>
      <w:lvlText w:val="9.3.%1"/>
      <w:lvlJc w:val="left"/>
      <w:pPr>
        <w:ind w:left="1282" w:hanging="440"/>
      </w:pPr>
      <w:rPr>
        <w:rFonts w:hint="eastAsia"/>
      </w:rPr>
    </w:lvl>
    <w:lvl w:ilvl="1" w:tentative="0">
      <w:start w:val="1"/>
      <w:numFmt w:val="decimal"/>
      <w:lvlText w:val="9.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19162529"/>
    <w:multiLevelType w:val="multilevel"/>
    <w:tmpl w:val="19162529"/>
    <w:lvl w:ilvl="0" w:tentative="0">
      <w:start w:val="1"/>
      <w:numFmt w:val="decimal"/>
      <w:lvlText w:val="7.%1"/>
      <w:lvlJc w:val="left"/>
      <w:pPr>
        <w:ind w:left="440" w:hanging="440"/>
      </w:pPr>
      <w:rPr>
        <w:rFonts w:hint="default" w:ascii="Times" w:hAnsi="Times"/>
        <w:sz w:val="21"/>
      </w:rPr>
    </w:lvl>
    <w:lvl w:ilvl="1" w:tentative="0">
      <w:start w:val="1"/>
      <w:numFmt w:val="decimal"/>
      <w:lvlText w:val="（%2）"/>
      <w:lvlJc w:val="left"/>
      <w:pPr>
        <w:ind w:left="1160" w:hanging="720"/>
      </w:pPr>
      <w:rPr>
        <w:rFonts w:hint="default"/>
      </w:rPr>
    </w:lvl>
    <w:lvl w:ilvl="2" w:tentative="0">
      <w:start w:val="1"/>
      <w:numFmt w:val="decimalEnclosedCircle"/>
      <w:lvlText w:val="%3"/>
      <w:lvlJc w:val="left"/>
      <w:pPr>
        <w:ind w:left="1240" w:hanging="36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1B177B02"/>
    <w:multiLevelType w:val="multilevel"/>
    <w:tmpl w:val="1B177B02"/>
    <w:lvl w:ilvl="0" w:tentative="0">
      <w:start w:val="1"/>
      <w:numFmt w:val="decimal"/>
      <w:lvlText w:val="9.5.%1"/>
      <w:lvlJc w:val="left"/>
      <w:pPr>
        <w:ind w:left="1320" w:hanging="440"/>
      </w:pPr>
      <w:rPr>
        <w:rFonts w:hint="eastAsia"/>
        <w:sz w:val="21"/>
      </w:rPr>
    </w:lvl>
    <w:lvl w:ilvl="1" w:tentative="0">
      <w:start w:val="1"/>
      <w:numFmt w:val="lowerLetter"/>
      <w:lvlText w:val="%2)"/>
      <w:lvlJc w:val="left"/>
      <w:pPr>
        <w:ind w:left="1760" w:hanging="440"/>
      </w:pPr>
    </w:lvl>
    <w:lvl w:ilvl="2" w:tentative="0">
      <w:start w:val="1"/>
      <w:numFmt w:val="lowerRoman"/>
      <w:lvlText w:val="%3."/>
      <w:lvlJc w:val="right"/>
      <w:pPr>
        <w:ind w:left="2200" w:hanging="440"/>
      </w:pPr>
    </w:lvl>
    <w:lvl w:ilvl="3" w:tentative="0">
      <w:start w:val="1"/>
      <w:numFmt w:val="decimal"/>
      <w:lvlText w:val="%4."/>
      <w:lvlJc w:val="left"/>
      <w:pPr>
        <w:ind w:left="2640" w:hanging="440"/>
      </w:pPr>
    </w:lvl>
    <w:lvl w:ilvl="4" w:tentative="0">
      <w:start w:val="1"/>
      <w:numFmt w:val="lowerLetter"/>
      <w:lvlText w:val="%5)"/>
      <w:lvlJc w:val="left"/>
      <w:pPr>
        <w:ind w:left="3080" w:hanging="440"/>
      </w:pPr>
    </w:lvl>
    <w:lvl w:ilvl="5" w:tentative="0">
      <w:start w:val="1"/>
      <w:numFmt w:val="lowerRoman"/>
      <w:lvlText w:val="%6."/>
      <w:lvlJc w:val="right"/>
      <w:pPr>
        <w:ind w:left="3520" w:hanging="440"/>
      </w:pPr>
    </w:lvl>
    <w:lvl w:ilvl="6" w:tentative="0">
      <w:start w:val="1"/>
      <w:numFmt w:val="decimal"/>
      <w:lvlText w:val="%7."/>
      <w:lvlJc w:val="left"/>
      <w:pPr>
        <w:ind w:left="3960" w:hanging="440"/>
      </w:pPr>
    </w:lvl>
    <w:lvl w:ilvl="7" w:tentative="0">
      <w:start w:val="1"/>
      <w:numFmt w:val="lowerLetter"/>
      <w:lvlText w:val="%8)"/>
      <w:lvlJc w:val="left"/>
      <w:pPr>
        <w:ind w:left="4400" w:hanging="440"/>
      </w:pPr>
    </w:lvl>
    <w:lvl w:ilvl="8" w:tentative="0">
      <w:start w:val="1"/>
      <w:numFmt w:val="lowerRoman"/>
      <w:lvlText w:val="%9."/>
      <w:lvlJc w:val="right"/>
      <w:pPr>
        <w:ind w:left="4840" w:hanging="440"/>
      </w:pPr>
    </w:lvl>
  </w:abstractNum>
  <w:abstractNum w:abstractNumId="16">
    <w:nsid w:val="1C9009F8"/>
    <w:multiLevelType w:val="multilevel"/>
    <w:tmpl w:val="1C9009F8"/>
    <w:lvl w:ilvl="0" w:tentative="0">
      <w:start w:val="1"/>
      <w:numFmt w:val="decimal"/>
      <w:pStyle w:val="14"/>
      <w:lvlText w:val="10.%1"/>
      <w:lvlJc w:val="left"/>
      <w:pPr>
        <w:ind w:left="860" w:hanging="440"/>
      </w:pPr>
      <w:rPr>
        <w:rFonts w:hint="eastAsia"/>
        <w:sz w:val="21"/>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7">
    <w:nsid w:val="215742CB"/>
    <w:multiLevelType w:val="multilevel"/>
    <w:tmpl w:val="215742CB"/>
    <w:lvl w:ilvl="0" w:tentative="0">
      <w:start w:val="1"/>
      <w:numFmt w:val="decimal"/>
      <w:lvlText w:val="6.1.%1"/>
      <w:lvlJc w:val="left"/>
      <w:pPr>
        <w:ind w:left="440" w:hanging="440"/>
      </w:pPr>
      <w:rPr>
        <w:rFonts w:hint="eastAsia"/>
      </w:rPr>
    </w:lvl>
    <w:lvl w:ilvl="1" w:tentative="0">
      <w:start w:val="1"/>
      <w:numFmt w:val="decimal"/>
      <w:lvlText w:val="10.%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23B76685"/>
    <w:multiLevelType w:val="multilevel"/>
    <w:tmpl w:val="23B76685"/>
    <w:lvl w:ilvl="0" w:tentative="0">
      <w:start w:val="1"/>
      <w:numFmt w:val="decimal"/>
      <w:lvlText w:val="6.1.%1"/>
      <w:lvlJc w:val="left"/>
      <w:pPr>
        <w:ind w:left="132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27355A15"/>
    <w:multiLevelType w:val="multilevel"/>
    <w:tmpl w:val="27355A15"/>
    <w:lvl w:ilvl="0" w:tentative="0">
      <w:start w:val="1"/>
      <w:numFmt w:val="decimal"/>
      <w:lvlText w:val="7.4.%1"/>
      <w:lvlJc w:val="left"/>
      <w:pPr>
        <w:ind w:left="880" w:hanging="440"/>
      </w:pPr>
      <w:rPr>
        <w:rFonts w:hint="eastAsia"/>
        <w:sz w:val="21"/>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0">
    <w:nsid w:val="2C403ED9"/>
    <w:multiLevelType w:val="multilevel"/>
    <w:tmpl w:val="2C403ED9"/>
    <w:lvl w:ilvl="0" w:tentative="0">
      <w:start w:val="1"/>
      <w:numFmt w:val="decimal"/>
      <w:lvlText w:val="4.%1"/>
      <w:lvlJc w:val="left"/>
      <w:pPr>
        <w:ind w:left="440" w:hanging="440"/>
      </w:pPr>
      <w:rPr>
        <w:rFonts w:hint="default" w:ascii="Times New Roman" w:hAnsi="Times New Roman" w:eastAsia="黑体" w:cs="Times New Roman"/>
      </w:rPr>
    </w:lvl>
    <w:lvl w:ilvl="1" w:tentative="0">
      <w:start w:val="1"/>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305E4ABE"/>
    <w:multiLevelType w:val="multilevel"/>
    <w:tmpl w:val="305E4ABE"/>
    <w:lvl w:ilvl="0" w:tentative="0">
      <w:start w:val="1"/>
      <w:numFmt w:val="lowerLetter"/>
      <w:lvlText w:val="%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3199016D"/>
    <w:multiLevelType w:val="multilevel"/>
    <w:tmpl w:val="3199016D"/>
    <w:lvl w:ilvl="0" w:tentative="0">
      <w:start w:val="1"/>
      <w:numFmt w:val="decimal"/>
      <w:lvlText w:val="9.%1"/>
      <w:lvlJc w:val="left"/>
      <w:pPr>
        <w:ind w:left="880" w:hanging="440"/>
      </w:pPr>
      <w:rPr>
        <w:rFonts w:hint="eastAsia"/>
        <w:sz w:val="21"/>
      </w:rPr>
    </w:lvl>
    <w:lvl w:ilvl="1" w:tentative="0">
      <w:start w:val="1"/>
      <w:numFmt w:val="decimal"/>
      <w:lvlText w:val="9.1.%2"/>
      <w:lvlJc w:val="left"/>
      <w:pPr>
        <w:ind w:left="880" w:hanging="440"/>
      </w:pPr>
      <w:rPr>
        <w:rFonts w:hint="default" w:ascii="Times" w:hAnsi="Times"/>
        <w:sz w:val="21"/>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32051F93"/>
    <w:multiLevelType w:val="multilevel"/>
    <w:tmpl w:val="32051F93"/>
    <w:lvl w:ilvl="0" w:tentative="0">
      <w:start w:val="1"/>
      <w:numFmt w:val="decimal"/>
      <w:lvlText w:val="7.2.%1"/>
      <w:lvlJc w:val="left"/>
      <w:pPr>
        <w:ind w:left="880" w:hanging="440"/>
      </w:pPr>
      <w:rPr>
        <w:rFonts w:hint="default" w:ascii="Times" w:hAnsi="Times"/>
        <w:sz w:val="21"/>
      </w:rPr>
    </w:lvl>
    <w:lvl w:ilvl="1" w:tentative="0">
      <w:start w:val="2"/>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4">
    <w:nsid w:val="39A074E7"/>
    <w:multiLevelType w:val="multilevel"/>
    <w:tmpl w:val="39A074E7"/>
    <w:lvl w:ilvl="0" w:tentative="0">
      <w:start w:val="1"/>
      <w:numFmt w:val="decimal"/>
      <w:lvlText w:val="6.4.%1"/>
      <w:lvlJc w:val="left"/>
      <w:pPr>
        <w:ind w:left="1320" w:hanging="440"/>
      </w:pPr>
      <w:rPr>
        <w:rFonts w:hint="eastAsia"/>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5">
    <w:nsid w:val="3EC3087F"/>
    <w:multiLevelType w:val="multilevel"/>
    <w:tmpl w:val="3EC3087F"/>
    <w:lvl w:ilvl="0" w:tentative="0">
      <w:start w:val="1"/>
      <w:numFmt w:val="lowerLetter"/>
      <w:lvlText w:val="%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6">
    <w:nsid w:val="406F1A1D"/>
    <w:multiLevelType w:val="multilevel"/>
    <w:tmpl w:val="406F1A1D"/>
    <w:lvl w:ilvl="0" w:tentative="0">
      <w:start w:val="1"/>
      <w:numFmt w:val="decimal"/>
      <w:lvlText w:val="7.6.%1"/>
      <w:lvlJc w:val="left"/>
      <w:pPr>
        <w:ind w:left="880" w:hanging="440"/>
      </w:pPr>
      <w:rPr>
        <w:rFonts w:hint="eastAsia"/>
        <w:sz w:val="21"/>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7">
    <w:nsid w:val="41E706DA"/>
    <w:multiLevelType w:val="multilevel"/>
    <w:tmpl w:val="41E706DA"/>
    <w:lvl w:ilvl="0" w:tentative="0">
      <w:start w:val="1"/>
      <w:numFmt w:val="decimal"/>
      <w:lvlText w:val="7.1.%1"/>
      <w:lvlJc w:val="left"/>
      <w:pPr>
        <w:ind w:left="880" w:hanging="440"/>
      </w:pPr>
      <w:rPr>
        <w:rFonts w:hint="default" w:ascii="Times" w:hAnsi="Times"/>
        <w:sz w:val="21"/>
      </w:rPr>
    </w:lvl>
    <w:lvl w:ilvl="1" w:tentative="0">
      <w:start w:val="1"/>
      <w:numFmt w:val="decimal"/>
      <w:lvlText w:val="7.1.%2"/>
      <w:lvlJc w:val="left"/>
      <w:pPr>
        <w:ind w:left="880" w:hanging="440"/>
      </w:pPr>
      <w:rPr>
        <w:rFonts w:hint="default" w:ascii="Times" w:hAnsi="Times"/>
        <w:sz w:val="21"/>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8">
    <w:nsid w:val="486A5058"/>
    <w:multiLevelType w:val="multilevel"/>
    <w:tmpl w:val="486A5058"/>
    <w:lvl w:ilvl="0" w:tentative="0">
      <w:start w:val="1"/>
      <w:numFmt w:val="decimal"/>
      <w:lvlText w:val="6.5.%1"/>
      <w:lvlJc w:val="left"/>
      <w:pPr>
        <w:ind w:left="1320" w:hanging="440"/>
      </w:pPr>
      <w:rPr>
        <w:rFonts w:hint="eastAsia"/>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9">
    <w:nsid w:val="4B32780C"/>
    <w:multiLevelType w:val="multilevel"/>
    <w:tmpl w:val="4B32780C"/>
    <w:lvl w:ilvl="0" w:tentative="0">
      <w:start w:val="1"/>
      <w:numFmt w:val="decimal"/>
      <w:lvlText w:val="6.%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0">
    <w:nsid w:val="50993C13"/>
    <w:multiLevelType w:val="multilevel"/>
    <w:tmpl w:val="50993C13"/>
    <w:lvl w:ilvl="0" w:tentative="0">
      <w:start w:val="1"/>
      <w:numFmt w:val="decimal"/>
      <w:lvlText w:val="8.2.%1"/>
      <w:lvlJc w:val="left"/>
      <w:pPr>
        <w:ind w:left="860" w:hanging="440"/>
      </w:pPr>
      <w:rPr>
        <w:rFonts w:hint="default" w:ascii="Times" w:hAnsi="Times"/>
        <w:sz w:val="21"/>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1">
    <w:nsid w:val="54EA6CB9"/>
    <w:multiLevelType w:val="multilevel"/>
    <w:tmpl w:val="54EA6CB9"/>
    <w:lvl w:ilvl="0" w:tentative="0">
      <w:start w:val="1"/>
      <w:numFmt w:val="decimal"/>
      <w:lvlText w:val="%1"/>
      <w:lvlJc w:val="left"/>
      <w:pPr>
        <w:ind w:left="440" w:hanging="440"/>
      </w:pPr>
      <w:rPr>
        <w:rFonts w:hint="default" w:ascii="Times" w:hAnsi="Times"/>
        <w:sz w:val="24"/>
      </w:rPr>
    </w:lvl>
    <w:lvl w:ilvl="1" w:tentative="0">
      <w:start w:val="1"/>
      <w:numFmt w:val="decimal"/>
      <w:isLgl/>
      <w:lvlText w:val="%1.%2"/>
      <w:lvlJc w:val="left"/>
      <w:pPr>
        <w:ind w:left="420" w:hanging="4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abstractNum w:abstractNumId="32">
    <w:nsid w:val="5B244A64"/>
    <w:multiLevelType w:val="multilevel"/>
    <w:tmpl w:val="5B244A64"/>
    <w:lvl w:ilvl="0" w:tentative="0">
      <w:start w:val="1"/>
      <w:numFmt w:val="decimal"/>
      <w:lvlText w:val="8.4.%1"/>
      <w:lvlJc w:val="left"/>
      <w:pPr>
        <w:ind w:left="860" w:hanging="440"/>
      </w:pPr>
      <w:rPr>
        <w:rFonts w:hint="default" w:ascii="Times" w:hAnsi="Times"/>
        <w:sz w:val="21"/>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3">
    <w:nsid w:val="735025A1"/>
    <w:multiLevelType w:val="multilevel"/>
    <w:tmpl w:val="735025A1"/>
    <w:lvl w:ilvl="0" w:tentative="0">
      <w:start w:val="1"/>
      <w:numFmt w:val="lowerLetter"/>
      <w:lvlText w:val="%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4">
    <w:nsid w:val="78330D4D"/>
    <w:multiLevelType w:val="multilevel"/>
    <w:tmpl w:val="78330D4D"/>
    <w:lvl w:ilvl="0" w:tentative="0">
      <w:start w:val="1"/>
      <w:numFmt w:val="decimal"/>
      <w:lvlText w:val="9.%1"/>
      <w:lvlJc w:val="left"/>
      <w:pPr>
        <w:ind w:left="880" w:hanging="440"/>
      </w:pPr>
      <w:rPr>
        <w:rFonts w:hint="eastAsia"/>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5">
    <w:nsid w:val="7CF91D64"/>
    <w:multiLevelType w:val="multilevel"/>
    <w:tmpl w:val="7CF91D64"/>
    <w:lvl w:ilvl="0" w:tentative="0">
      <w:start w:val="1"/>
      <w:numFmt w:val="lowerLetter"/>
      <w:lvlText w:val="%1）"/>
      <w:lvlJc w:val="left"/>
      <w:pPr>
        <w:ind w:left="440" w:hanging="440"/>
      </w:pPr>
      <w:rPr>
        <w:rFonts w:hint="default" w:ascii="Times" w:hAnsi="Times"/>
        <w:sz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7DF56817"/>
    <w:multiLevelType w:val="multilevel"/>
    <w:tmpl w:val="7DF56817"/>
    <w:lvl w:ilvl="0" w:tentative="0">
      <w:start w:val="1"/>
      <w:numFmt w:val="decimal"/>
      <w:lvlText w:val="8.1.%1"/>
      <w:lvlJc w:val="left"/>
      <w:pPr>
        <w:ind w:left="860" w:hanging="440"/>
      </w:pPr>
      <w:rPr>
        <w:rFonts w:hint="default" w:ascii="Times" w:hAnsi="Times"/>
        <w:sz w:val="21"/>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16"/>
  </w:num>
  <w:num w:numId="2">
    <w:abstractNumId w:val="31"/>
  </w:num>
  <w:num w:numId="3">
    <w:abstractNumId w:val="5"/>
  </w:num>
  <w:num w:numId="4">
    <w:abstractNumId w:val="20"/>
  </w:num>
  <w:num w:numId="5">
    <w:abstractNumId w:val="2"/>
  </w:num>
  <w:num w:numId="6">
    <w:abstractNumId w:val="0"/>
  </w:num>
  <w:num w:numId="7">
    <w:abstractNumId w:val="6"/>
  </w:num>
  <w:num w:numId="8">
    <w:abstractNumId w:val="29"/>
  </w:num>
  <w:num w:numId="9">
    <w:abstractNumId w:val="18"/>
  </w:num>
  <w:num w:numId="10">
    <w:abstractNumId w:val="10"/>
  </w:num>
  <w:num w:numId="11">
    <w:abstractNumId w:val="1"/>
  </w:num>
  <w:num w:numId="12">
    <w:abstractNumId w:val="24"/>
  </w:num>
  <w:num w:numId="13">
    <w:abstractNumId w:val="28"/>
  </w:num>
  <w:num w:numId="14">
    <w:abstractNumId w:val="14"/>
  </w:num>
  <w:num w:numId="15">
    <w:abstractNumId w:val="27"/>
  </w:num>
  <w:num w:numId="16">
    <w:abstractNumId w:val="23"/>
  </w:num>
  <w:num w:numId="17">
    <w:abstractNumId w:val="9"/>
  </w:num>
  <w:num w:numId="18">
    <w:abstractNumId w:val="19"/>
  </w:num>
  <w:num w:numId="19">
    <w:abstractNumId w:val="11"/>
  </w:num>
  <w:num w:numId="20">
    <w:abstractNumId w:val="26"/>
  </w:num>
  <w:num w:numId="21">
    <w:abstractNumId w:val="4"/>
  </w:num>
  <w:num w:numId="22">
    <w:abstractNumId w:val="36"/>
  </w:num>
  <w:num w:numId="23">
    <w:abstractNumId w:val="3"/>
  </w:num>
  <w:num w:numId="24">
    <w:abstractNumId w:val="30"/>
  </w:num>
  <w:num w:numId="25">
    <w:abstractNumId w:val="35"/>
  </w:num>
  <w:num w:numId="26">
    <w:abstractNumId w:val="8"/>
  </w:num>
  <w:num w:numId="27">
    <w:abstractNumId w:val="25"/>
  </w:num>
  <w:num w:numId="28">
    <w:abstractNumId w:val="32"/>
  </w:num>
  <w:num w:numId="29">
    <w:abstractNumId w:val="34"/>
  </w:num>
  <w:num w:numId="30">
    <w:abstractNumId w:val="22"/>
  </w:num>
  <w:num w:numId="31">
    <w:abstractNumId w:val="33"/>
  </w:num>
  <w:num w:numId="32">
    <w:abstractNumId w:val="7"/>
  </w:num>
  <w:num w:numId="33">
    <w:abstractNumId w:val="13"/>
  </w:num>
  <w:num w:numId="34">
    <w:abstractNumId w:val="12"/>
  </w:num>
  <w:num w:numId="35">
    <w:abstractNumId w:val="21"/>
  </w:num>
  <w:num w:numId="36">
    <w:abstractNumId w:val="15"/>
    <w:lvlOverride w:ilvl="0">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B5"/>
    <w:rsid w:val="000003A8"/>
    <w:rsid w:val="000010B0"/>
    <w:rsid w:val="000021B1"/>
    <w:rsid w:val="00002CBB"/>
    <w:rsid w:val="00005AA0"/>
    <w:rsid w:val="0000780C"/>
    <w:rsid w:val="00007B06"/>
    <w:rsid w:val="00011E85"/>
    <w:rsid w:val="000147E0"/>
    <w:rsid w:val="0001495D"/>
    <w:rsid w:val="000177F6"/>
    <w:rsid w:val="00021D25"/>
    <w:rsid w:val="000236C6"/>
    <w:rsid w:val="00026114"/>
    <w:rsid w:val="000261E6"/>
    <w:rsid w:val="00030CF9"/>
    <w:rsid w:val="00030FF7"/>
    <w:rsid w:val="00031736"/>
    <w:rsid w:val="00032C8C"/>
    <w:rsid w:val="00033235"/>
    <w:rsid w:val="000338E7"/>
    <w:rsid w:val="00040F80"/>
    <w:rsid w:val="00041127"/>
    <w:rsid w:val="000423F0"/>
    <w:rsid w:val="000431D5"/>
    <w:rsid w:val="00043C40"/>
    <w:rsid w:val="0005132C"/>
    <w:rsid w:val="000523AD"/>
    <w:rsid w:val="00052D76"/>
    <w:rsid w:val="00053879"/>
    <w:rsid w:val="00054783"/>
    <w:rsid w:val="0005604E"/>
    <w:rsid w:val="00057555"/>
    <w:rsid w:val="00061AA3"/>
    <w:rsid w:val="0006261F"/>
    <w:rsid w:val="000632AC"/>
    <w:rsid w:val="00065DDB"/>
    <w:rsid w:val="00067297"/>
    <w:rsid w:val="00067936"/>
    <w:rsid w:val="0007161D"/>
    <w:rsid w:val="000717EB"/>
    <w:rsid w:val="000735DB"/>
    <w:rsid w:val="0007479A"/>
    <w:rsid w:val="00075611"/>
    <w:rsid w:val="00080121"/>
    <w:rsid w:val="00081535"/>
    <w:rsid w:val="00082239"/>
    <w:rsid w:val="000822A0"/>
    <w:rsid w:val="00085495"/>
    <w:rsid w:val="00085CEB"/>
    <w:rsid w:val="00086C10"/>
    <w:rsid w:val="000901B8"/>
    <w:rsid w:val="000908A7"/>
    <w:rsid w:val="0009131E"/>
    <w:rsid w:val="00093BEC"/>
    <w:rsid w:val="00093F73"/>
    <w:rsid w:val="000946C0"/>
    <w:rsid w:val="00094B03"/>
    <w:rsid w:val="00096336"/>
    <w:rsid w:val="00096F56"/>
    <w:rsid w:val="0009732F"/>
    <w:rsid w:val="000974B8"/>
    <w:rsid w:val="000974CF"/>
    <w:rsid w:val="000A16C1"/>
    <w:rsid w:val="000A1939"/>
    <w:rsid w:val="000A1D69"/>
    <w:rsid w:val="000A37D5"/>
    <w:rsid w:val="000A3F12"/>
    <w:rsid w:val="000B0CFB"/>
    <w:rsid w:val="000B4343"/>
    <w:rsid w:val="000B5847"/>
    <w:rsid w:val="000B65FB"/>
    <w:rsid w:val="000C0961"/>
    <w:rsid w:val="000C0F64"/>
    <w:rsid w:val="000C1D53"/>
    <w:rsid w:val="000C72A5"/>
    <w:rsid w:val="000D08A0"/>
    <w:rsid w:val="000D2E94"/>
    <w:rsid w:val="000D3C39"/>
    <w:rsid w:val="000D78DF"/>
    <w:rsid w:val="000E1E33"/>
    <w:rsid w:val="000E314C"/>
    <w:rsid w:val="000E364D"/>
    <w:rsid w:val="000E441A"/>
    <w:rsid w:val="000F1F81"/>
    <w:rsid w:val="000F2144"/>
    <w:rsid w:val="000F2ABB"/>
    <w:rsid w:val="000F3EB9"/>
    <w:rsid w:val="000F7882"/>
    <w:rsid w:val="0010119A"/>
    <w:rsid w:val="001075CC"/>
    <w:rsid w:val="00107922"/>
    <w:rsid w:val="00114CEA"/>
    <w:rsid w:val="00114EDF"/>
    <w:rsid w:val="0012180C"/>
    <w:rsid w:val="00124656"/>
    <w:rsid w:val="001247A0"/>
    <w:rsid w:val="00130CFB"/>
    <w:rsid w:val="00131B26"/>
    <w:rsid w:val="00133A2B"/>
    <w:rsid w:val="00136C53"/>
    <w:rsid w:val="00143134"/>
    <w:rsid w:val="001436FB"/>
    <w:rsid w:val="00144398"/>
    <w:rsid w:val="00155068"/>
    <w:rsid w:val="001561DC"/>
    <w:rsid w:val="00157EA2"/>
    <w:rsid w:val="00162B57"/>
    <w:rsid w:val="001647A0"/>
    <w:rsid w:val="00164888"/>
    <w:rsid w:val="001717B5"/>
    <w:rsid w:val="0017275E"/>
    <w:rsid w:val="00174C90"/>
    <w:rsid w:val="00175153"/>
    <w:rsid w:val="00175DEE"/>
    <w:rsid w:val="00177FF1"/>
    <w:rsid w:val="001803E9"/>
    <w:rsid w:val="0018296A"/>
    <w:rsid w:val="00183F05"/>
    <w:rsid w:val="00184D01"/>
    <w:rsid w:val="00191103"/>
    <w:rsid w:val="001937D3"/>
    <w:rsid w:val="001965C9"/>
    <w:rsid w:val="001A12CF"/>
    <w:rsid w:val="001A4210"/>
    <w:rsid w:val="001A61AA"/>
    <w:rsid w:val="001B1BDE"/>
    <w:rsid w:val="001B3A25"/>
    <w:rsid w:val="001B4F0C"/>
    <w:rsid w:val="001B50BF"/>
    <w:rsid w:val="001B744B"/>
    <w:rsid w:val="001B7837"/>
    <w:rsid w:val="001C5B03"/>
    <w:rsid w:val="001D49EA"/>
    <w:rsid w:val="001D5909"/>
    <w:rsid w:val="001D5EED"/>
    <w:rsid w:val="001E33A5"/>
    <w:rsid w:val="001E3C3D"/>
    <w:rsid w:val="001E72EB"/>
    <w:rsid w:val="001E79EA"/>
    <w:rsid w:val="001F06BE"/>
    <w:rsid w:val="001F0B25"/>
    <w:rsid w:val="001F1575"/>
    <w:rsid w:val="001F3249"/>
    <w:rsid w:val="001F619F"/>
    <w:rsid w:val="001F7158"/>
    <w:rsid w:val="0020164F"/>
    <w:rsid w:val="0020317E"/>
    <w:rsid w:val="00205052"/>
    <w:rsid w:val="00207170"/>
    <w:rsid w:val="00212CEF"/>
    <w:rsid w:val="002173AE"/>
    <w:rsid w:val="0022370F"/>
    <w:rsid w:val="00224046"/>
    <w:rsid w:val="002241F3"/>
    <w:rsid w:val="00224E50"/>
    <w:rsid w:val="00225AB3"/>
    <w:rsid w:val="00227410"/>
    <w:rsid w:val="00232C52"/>
    <w:rsid w:val="00232ED1"/>
    <w:rsid w:val="0023308B"/>
    <w:rsid w:val="00234B71"/>
    <w:rsid w:val="002365C4"/>
    <w:rsid w:val="00237B55"/>
    <w:rsid w:val="0024146B"/>
    <w:rsid w:val="0024233F"/>
    <w:rsid w:val="00243A8C"/>
    <w:rsid w:val="00244EA9"/>
    <w:rsid w:val="00252B1E"/>
    <w:rsid w:val="00255B5A"/>
    <w:rsid w:val="00255BDE"/>
    <w:rsid w:val="00255F88"/>
    <w:rsid w:val="002562B8"/>
    <w:rsid w:val="00257404"/>
    <w:rsid w:val="00260B97"/>
    <w:rsid w:val="00263709"/>
    <w:rsid w:val="00266390"/>
    <w:rsid w:val="00270A47"/>
    <w:rsid w:val="00271CF6"/>
    <w:rsid w:val="0027428C"/>
    <w:rsid w:val="00275B04"/>
    <w:rsid w:val="0027641F"/>
    <w:rsid w:val="0028034E"/>
    <w:rsid w:val="00281256"/>
    <w:rsid w:val="00281359"/>
    <w:rsid w:val="002831E2"/>
    <w:rsid w:val="00283BE9"/>
    <w:rsid w:val="002846BE"/>
    <w:rsid w:val="00285289"/>
    <w:rsid w:val="002902DF"/>
    <w:rsid w:val="00291F0E"/>
    <w:rsid w:val="00292DD8"/>
    <w:rsid w:val="00292E07"/>
    <w:rsid w:val="00296CDE"/>
    <w:rsid w:val="002A0BFB"/>
    <w:rsid w:val="002A3AAB"/>
    <w:rsid w:val="002A3ECD"/>
    <w:rsid w:val="002A3EE3"/>
    <w:rsid w:val="002B1353"/>
    <w:rsid w:val="002B20D5"/>
    <w:rsid w:val="002B21BB"/>
    <w:rsid w:val="002B3C53"/>
    <w:rsid w:val="002B6274"/>
    <w:rsid w:val="002B65D1"/>
    <w:rsid w:val="002C0D77"/>
    <w:rsid w:val="002C40ED"/>
    <w:rsid w:val="002C6200"/>
    <w:rsid w:val="002D17B5"/>
    <w:rsid w:val="002D2522"/>
    <w:rsid w:val="002E41D8"/>
    <w:rsid w:val="002E4AB6"/>
    <w:rsid w:val="002E4DEF"/>
    <w:rsid w:val="002E56A4"/>
    <w:rsid w:val="002E6B50"/>
    <w:rsid w:val="002F2158"/>
    <w:rsid w:val="002F2818"/>
    <w:rsid w:val="002F2FB3"/>
    <w:rsid w:val="002F3962"/>
    <w:rsid w:val="002F506F"/>
    <w:rsid w:val="00304FAE"/>
    <w:rsid w:val="00305AE0"/>
    <w:rsid w:val="00306DC6"/>
    <w:rsid w:val="00310E4A"/>
    <w:rsid w:val="00312632"/>
    <w:rsid w:val="00312C4A"/>
    <w:rsid w:val="003131B2"/>
    <w:rsid w:val="00314581"/>
    <w:rsid w:val="00315DEE"/>
    <w:rsid w:val="003162E8"/>
    <w:rsid w:val="00316DCF"/>
    <w:rsid w:val="00320838"/>
    <w:rsid w:val="00320975"/>
    <w:rsid w:val="003212D2"/>
    <w:rsid w:val="003216CD"/>
    <w:rsid w:val="00325013"/>
    <w:rsid w:val="00331899"/>
    <w:rsid w:val="0034137B"/>
    <w:rsid w:val="00341F06"/>
    <w:rsid w:val="00343E9B"/>
    <w:rsid w:val="00344E77"/>
    <w:rsid w:val="00346F13"/>
    <w:rsid w:val="0035179C"/>
    <w:rsid w:val="00352EF5"/>
    <w:rsid w:val="00352F3E"/>
    <w:rsid w:val="003554EF"/>
    <w:rsid w:val="00356302"/>
    <w:rsid w:val="00361472"/>
    <w:rsid w:val="0036198C"/>
    <w:rsid w:val="00365E6E"/>
    <w:rsid w:val="00366534"/>
    <w:rsid w:val="003674BF"/>
    <w:rsid w:val="00367907"/>
    <w:rsid w:val="00371E71"/>
    <w:rsid w:val="00376FE6"/>
    <w:rsid w:val="00377976"/>
    <w:rsid w:val="00377D00"/>
    <w:rsid w:val="003828C2"/>
    <w:rsid w:val="0038444C"/>
    <w:rsid w:val="003858FA"/>
    <w:rsid w:val="00386157"/>
    <w:rsid w:val="00386436"/>
    <w:rsid w:val="00386819"/>
    <w:rsid w:val="00386D58"/>
    <w:rsid w:val="00394CBF"/>
    <w:rsid w:val="003966F6"/>
    <w:rsid w:val="003A1A70"/>
    <w:rsid w:val="003A4B46"/>
    <w:rsid w:val="003A6BF5"/>
    <w:rsid w:val="003B0AD4"/>
    <w:rsid w:val="003B156B"/>
    <w:rsid w:val="003B26E3"/>
    <w:rsid w:val="003B354A"/>
    <w:rsid w:val="003B35B0"/>
    <w:rsid w:val="003C4ABB"/>
    <w:rsid w:val="003C62EE"/>
    <w:rsid w:val="003D0516"/>
    <w:rsid w:val="003D1CC8"/>
    <w:rsid w:val="003D26D3"/>
    <w:rsid w:val="003D3397"/>
    <w:rsid w:val="003D443E"/>
    <w:rsid w:val="003D473D"/>
    <w:rsid w:val="003E0069"/>
    <w:rsid w:val="003E1961"/>
    <w:rsid w:val="003E2A79"/>
    <w:rsid w:val="003E3115"/>
    <w:rsid w:val="003E45E5"/>
    <w:rsid w:val="003E508F"/>
    <w:rsid w:val="003E688A"/>
    <w:rsid w:val="003F3E26"/>
    <w:rsid w:val="003F45B9"/>
    <w:rsid w:val="003F673A"/>
    <w:rsid w:val="003F68DC"/>
    <w:rsid w:val="003F7540"/>
    <w:rsid w:val="003F759A"/>
    <w:rsid w:val="003F7ACD"/>
    <w:rsid w:val="00402EA5"/>
    <w:rsid w:val="0040399D"/>
    <w:rsid w:val="00403EDE"/>
    <w:rsid w:val="004059EC"/>
    <w:rsid w:val="00406A36"/>
    <w:rsid w:val="00410131"/>
    <w:rsid w:val="004104E3"/>
    <w:rsid w:val="00410B8C"/>
    <w:rsid w:val="00411C4C"/>
    <w:rsid w:val="00413EAA"/>
    <w:rsid w:val="00415440"/>
    <w:rsid w:val="004154DE"/>
    <w:rsid w:val="00417308"/>
    <w:rsid w:val="004177EC"/>
    <w:rsid w:val="00421016"/>
    <w:rsid w:val="0042473D"/>
    <w:rsid w:val="00427EB1"/>
    <w:rsid w:val="004351CF"/>
    <w:rsid w:val="004356D0"/>
    <w:rsid w:val="00436B39"/>
    <w:rsid w:val="00437265"/>
    <w:rsid w:val="004420FD"/>
    <w:rsid w:val="004428C8"/>
    <w:rsid w:val="004436BF"/>
    <w:rsid w:val="00443CED"/>
    <w:rsid w:val="004443B9"/>
    <w:rsid w:val="004471A8"/>
    <w:rsid w:val="00451432"/>
    <w:rsid w:val="00452CFF"/>
    <w:rsid w:val="00455E14"/>
    <w:rsid w:val="004573AA"/>
    <w:rsid w:val="00457A64"/>
    <w:rsid w:val="00463538"/>
    <w:rsid w:val="0046359A"/>
    <w:rsid w:val="004649E9"/>
    <w:rsid w:val="00466833"/>
    <w:rsid w:val="004677B9"/>
    <w:rsid w:val="00472C9C"/>
    <w:rsid w:val="004736A7"/>
    <w:rsid w:val="00474728"/>
    <w:rsid w:val="004776AC"/>
    <w:rsid w:val="00481D69"/>
    <w:rsid w:val="0048514D"/>
    <w:rsid w:val="00491644"/>
    <w:rsid w:val="00492F32"/>
    <w:rsid w:val="004935A4"/>
    <w:rsid w:val="00497B34"/>
    <w:rsid w:val="004A07CF"/>
    <w:rsid w:val="004A253A"/>
    <w:rsid w:val="004A2C47"/>
    <w:rsid w:val="004A2F13"/>
    <w:rsid w:val="004A351E"/>
    <w:rsid w:val="004A557E"/>
    <w:rsid w:val="004A6ABC"/>
    <w:rsid w:val="004A6FA6"/>
    <w:rsid w:val="004B1298"/>
    <w:rsid w:val="004B27C2"/>
    <w:rsid w:val="004B2C1B"/>
    <w:rsid w:val="004B3D1C"/>
    <w:rsid w:val="004B3D37"/>
    <w:rsid w:val="004B5069"/>
    <w:rsid w:val="004B5F60"/>
    <w:rsid w:val="004C03E4"/>
    <w:rsid w:val="004C1223"/>
    <w:rsid w:val="004C3C3D"/>
    <w:rsid w:val="004C742E"/>
    <w:rsid w:val="004C7793"/>
    <w:rsid w:val="004C7B1C"/>
    <w:rsid w:val="004D2306"/>
    <w:rsid w:val="004D450A"/>
    <w:rsid w:val="004D4EFE"/>
    <w:rsid w:val="004D5450"/>
    <w:rsid w:val="004D5B6A"/>
    <w:rsid w:val="004E25B8"/>
    <w:rsid w:val="004E39EF"/>
    <w:rsid w:val="004E5647"/>
    <w:rsid w:val="004F2335"/>
    <w:rsid w:val="004F319F"/>
    <w:rsid w:val="004F3376"/>
    <w:rsid w:val="004F404F"/>
    <w:rsid w:val="004F53C7"/>
    <w:rsid w:val="004F70BD"/>
    <w:rsid w:val="004F73DA"/>
    <w:rsid w:val="0050164F"/>
    <w:rsid w:val="00503BF5"/>
    <w:rsid w:val="005044A9"/>
    <w:rsid w:val="005049BE"/>
    <w:rsid w:val="00504B62"/>
    <w:rsid w:val="00510502"/>
    <w:rsid w:val="00511B7E"/>
    <w:rsid w:val="00511CD2"/>
    <w:rsid w:val="00511D84"/>
    <w:rsid w:val="0051236F"/>
    <w:rsid w:val="0051246E"/>
    <w:rsid w:val="00512BD7"/>
    <w:rsid w:val="005136C8"/>
    <w:rsid w:val="005139B3"/>
    <w:rsid w:val="00513B04"/>
    <w:rsid w:val="00515192"/>
    <w:rsid w:val="005158FE"/>
    <w:rsid w:val="005160F3"/>
    <w:rsid w:val="00517A62"/>
    <w:rsid w:val="005213AE"/>
    <w:rsid w:val="0052191C"/>
    <w:rsid w:val="00522408"/>
    <w:rsid w:val="00522F7B"/>
    <w:rsid w:val="00523731"/>
    <w:rsid w:val="00523D3C"/>
    <w:rsid w:val="00524CCB"/>
    <w:rsid w:val="00525040"/>
    <w:rsid w:val="005328ED"/>
    <w:rsid w:val="00533154"/>
    <w:rsid w:val="00533155"/>
    <w:rsid w:val="00534DEE"/>
    <w:rsid w:val="0053514B"/>
    <w:rsid w:val="005375D7"/>
    <w:rsid w:val="005406F3"/>
    <w:rsid w:val="00541129"/>
    <w:rsid w:val="00541DB3"/>
    <w:rsid w:val="00542357"/>
    <w:rsid w:val="005435D2"/>
    <w:rsid w:val="005437AB"/>
    <w:rsid w:val="00544755"/>
    <w:rsid w:val="0054570B"/>
    <w:rsid w:val="005457AB"/>
    <w:rsid w:val="00545C6E"/>
    <w:rsid w:val="00546A6B"/>
    <w:rsid w:val="00551FB6"/>
    <w:rsid w:val="005524A0"/>
    <w:rsid w:val="00552C57"/>
    <w:rsid w:val="00552E77"/>
    <w:rsid w:val="005534AF"/>
    <w:rsid w:val="005537A8"/>
    <w:rsid w:val="005539F2"/>
    <w:rsid w:val="00554FC9"/>
    <w:rsid w:val="00557A7F"/>
    <w:rsid w:val="00557E39"/>
    <w:rsid w:val="005604A5"/>
    <w:rsid w:val="00561151"/>
    <w:rsid w:val="0056142D"/>
    <w:rsid w:val="00563751"/>
    <w:rsid w:val="0056520C"/>
    <w:rsid w:val="0056673A"/>
    <w:rsid w:val="00566DB5"/>
    <w:rsid w:val="0056758A"/>
    <w:rsid w:val="0057121B"/>
    <w:rsid w:val="005736EC"/>
    <w:rsid w:val="00574604"/>
    <w:rsid w:val="00576B62"/>
    <w:rsid w:val="00581986"/>
    <w:rsid w:val="0058198F"/>
    <w:rsid w:val="005827C7"/>
    <w:rsid w:val="00582C15"/>
    <w:rsid w:val="00583CC7"/>
    <w:rsid w:val="00583F65"/>
    <w:rsid w:val="0058403E"/>
    <w:rsid w:val="00584E2B"/>
    <w:rsid w:val="005861F6"/>
    <w:rsid w:val="005863BB"/>
    <w:rsid w:val="00592369"/>
    <w:rsid w:val="0059237E"/>
    <w:rsid w:val="00595CEA"/>
    <w:rsid w:val="00595FD7"/>
    <w:rsid w:val="005975D4"/>
    <w:rsid w:val="0059786C"/>
    <w:rsid w:val="00597C9E"/>
    <w:rsid w:val="005A058D"/>
    <w:rsid w:val="005A11B6"/>
    <w:rsid w:val="005A3E37"/>
    <w:rsid w:val="005A4363"/>
    <w:rsid w:val="005A4F36"/>
    <w:rsid w:val="005A563F"/>
    <w:rsid w:val="005A6E9A"/>
    <w:rsid w:val="005A6F66"/>
    <w:rsid w:val="005B3A32"/>
    <w:rsid w:val="005B3AFB"/>
    <w:rsid w:val="005B3E0B"/>
    <w:rsid w:val="005B7593"/>
    <w:rsid w:val="005B7CF5"/>
    <w:rsid w:val="005C0DEF"/>
    <w:rsid w:val="005C3385"/>
    <w:rsid w:val="005C65FA"/>
    <w:rsid w:val="005C75DE"/>
    <w:rsid w:val="005C7995"/>
    <w:rsid w:val="005D0402"/>
    <w:rsid w:val="005D156C"/>
    <w:rsid w:val="005D1A1C"/>
    <w:rsid w:val="005D2275"/>
    <w:rsid w:val="005D5AC9"/>
    <w:rsid w:val="005D6182"/>
    <w:rsid w:val="005E038D"/>
    <w:rsid w:val="005E03F5"/>
    <w:rsid w:val="005E0413"/>
    <w:rsid w:val="005E0B00"/>
    <w:rsid w:val="005E0F18"/>
    <w:rsid w:val="005E1191"/>
    <w:rsid w:val="005E2506"/>
    <w:rsid w:val="005E2591"/>
    <w:rsid w:val="005E2CE3"/>
    <w:rsid w:val="005E3A64"/>
    <w:rsid w:val="005E3D8C"/>
    <w:rsid w:val="005E4AA5"/>
    <w:rsid w:val="005E4E57"/>
    <w:rsid w:val="005F4106"/>
    <w:rsid w:val="005F4AC1"/>
    <w:rsid w:val="005F7338"/>
    <w:rsid w:val="00601EB6"/>
    <w:rsid w:val="0060246A"/>
    <w:rsid w:val="0060356C"/>
    <w:rsid w:val="00606A75"/>
    <w:rsid w:val="00607909"/>
    <w:rsid w:val="00611788"/>
    <w:rsid w:val="00613420"/>
    <w:rsid w:val="00614584"/>
    <w:rsid w:val="006146E5"/>
    <w:rsid w:val="0061703F"/>
    <w:rsid w:val="00623EE8"/>
    <w:rsid w:val="006247AE"/>
    <w:rsid w:val="0062484D"/>
    <w:rsid w:val="00626B03"/>
    <w:rsid w:val="0062740E"/>
    <w:rsid w:val="00631104"/>
    <w:rsid w:val="00632933"/>
    <w:rsid w:val="00632D14"/>
    <w:rsid w:val="00636FD3"/>
    <w:rsid w:val="00637910"/>
    <w:rsid w:val="00640E0E"/>
    <w:rsid w:val="00641906"/>
    <w:rsid w:val="00641A2A"/>
    <w:rsid w:val="00644020"/>
    <w:rsid w:val="00644561"/>
    <w:rsid w:val="00645240"/>
    <w:rsid w:val="00646D07"/>
    <w:rsid w:val="00647CBF"/>
    <w:rsid w:val="00651602"/>
    <w:rsid w:val="00653482"/>
    <w:rsid w:val="0065485C"/>
    <w:rsid w:val="00655CF0"/>
    <w:rsid w:val="006619BD"/>
    <w:rsid w:val="00661E15"/>
    <w:rsid w:val="006638D2"/>
    <w:rsid w:val="00663B13"/>
    <w:rsid w:val="00663C53"/>
    <w:rsid w:val="00663CD4"/>
    <w:rsid w:val="00667BE8"/>
    <w:rsid w:val="00667C67"/>
    <w:rsid w:val="00670100"/>
    <w:rsid w:val="00670C9B"/>
    <w:rsid w:val="00673B16"/>
    <w:rsid w:val="006743CD"/>
    <w:rsid w:val="0067467E"/>
    <w:rsid w:val="00674783"/>
    <w:rsid w:val="00675C3D"/>
    <w:rsid w:val="00676922"/>
    <w:rsid w:val="00677644"/>
    <w:rsid w:val="006776F5"/>
    <w:rsid w:val="006808D0"/>
    <w:rsid w:val="00683DFD"/>
    <w:rsid w:val="0068518F"/>
    <w:rsid w:val="0068771E"/>
    <w:rsid w:val="00687B67"/>
    <w:rsid w:val="00687D15"/>
    <w:rsid w:val="006929FD"/>
    <w:rsid w:val="0069389E"/>
    <w:rsid w:val="0069433C"/>
    <w:rsid w:val="00695178"/>
    <w:rsid w:val="00695F4E"/>
    <w:rsid w:val="006960D5"/>
    <w:rsid w:val="00696249"/>
    <w:rsid w:val="0069641C"/>
    <w:rsid w:val="006A1C02"/>
    <w:rsid w:val="006A2C2E"/>
    <w:rsid w:val="006A7BD5"/>
    <w:rsid w:val="006B080B"/>
    <w:rsid w:val="006B116A"/>
    <w:rsid w:val="006B1706"/>
    <w:rsid w:val="006B4909"/>
    <w:rsid w:val="006B639B"/>
    <w:rsid w:val="006C0C33"/>
    <w:rsid w:val="006C17D1"/>
    <w:rsid w:val="006C36F2"/>
    <w:rsid w:val="006C523B"/>
    <w:rsid w:val="006C63E9"/>
    <w:rsid w:val="006C67E0"/>
    <w:rsid w:val="006D2697"/>
    <w:rsid w:val="006D4649"/>
    <w:rsid w:val="006D5217"/>
    <w:rsid w:val="006D7EA4"/>
    <w:rsid w:val="006E2055"/>
    <w:rsid w:val="006E32AE"/>
    <w:rsid w:val="006E4C9F"/>
    <w:rsid w:val="006E4CE3"/>
    <w:rsid w:val="006F14DB"/>
    <w:rsid w:val="006F17D3"/>
    <w:rsid w:val="006F1A8F"/>
    <w:rsid w:val="006F4DE0"/>
    <w:rsid w:val="006F5E46"/>
    <w:rsid w:val="006F661F"/>
    <w:rsid w:val="007011AD"/>
    <w:rsid w:val="00701359"/>
    <w:rsid w:val="007128EF"/>
    <w:rsid w:val="00714C63"/>
    <w:rsid w:val="00723213"/>
    <w:rsid w:val="007242E5"/>
    <w:rsid w:val="00724767"/>
    <w:rsid w:val="00726BE5"/>
    <w:rsid w:val="00727DC7"/>
    <w:rsid w:val="00731833"/>
    <w:rsid w:val="0073230F"/>
    <w:rsid w:val="00733330"/>
    <w:rsid w:val="00733BD5"/>
    <w:rsid w:val="007345F0"/>
    <w:rsid w:val="00735ED9"/>
    <w:rsid w:val="00736762"/>
    <w:rsid w:val="00737579"/>
    <w:rsid w:val="007376FC"/>
    <w:rsid w:val="00741C63"/>
    <w:rsid w:val="007429B8"/>
    <w:rsid w:val="00743E15"/>
    <w:rsid w:val="007452C0"/>
    <w:rsid w:val="0074633F"/>
    <w:rsid w:val="00747A8C"/>
    <w:rsid w:val="00747D0B"/>
    <w:rsid w:val="0075037C"/>
    <w:rsid w:val="00750424"/>
    <w:rsid w:val="00751E73"/>
    <w:rsid w:val="007526F8"/>
    <w:rsid w:val="00752BE6"/>
    <w:rsid w:val="00753632"/>
    <w:rsid w:val="00753FFE"/>
    <w:rsid w:val="007558B6"/>
    <w:rsid w:val="00755D2C"/>
    <w:rsid w:val="00757846"/>
    <w:rsid w:val="00757950"/>
    <w:rsid w:val="00757C6D"/>
    <w:rsid w:val="0076040D"/>
    <w:rsid w:val="007615F8"/>
    <w:rsid w:val="00761BF4"/>
    <w:rsid w:val="00762C45"/>
    <w:rsid w:val="007630CD"/>
    <w:rsid w:val="00764279"/>
    <w:rsid w:val="00765B1B"/>
    <w:rsid w:val="007673D9"/>
    <w:rsid w:val="0077246F"/>
    <w:rsid w:val="007747EA"/>
    <w:rsid w:val="00775A1A"/>
    <w:rsid w:val="00776D73"/>
    <w:rsid w:val="00777E46"/>
    <w:rsid w:val="0078211A"/>
    <w:rsid w:val="007826A9"/>
    <w:rsid w:val="00783495"/>
    <w:rsid w:val="00783F7B"/>
    <w:rsid w:val="007854A8"/>
    <w:rsid w:val="00787789"/>
    <w:rsid w:val="007911BF"/>
    <w:rsid w:val="00791423"/>
    <w:rsid w:val="00793ADE"/>
    <w:rsid w:val="00796186"/>
    <w:rsid w:val="0079721D"/>
    <w:rsid w:val="007A0570"/>
    <w:rsid w:val="007A0A53"/>
    <w:rsid w:val="007A27EF"/>
    <w:rsid w:val="007A336D"/>
    <w:rsid w:val="007A4602"/>
    <w:rsid w:val="007A7222"/>
    <w:rsid w:val="007B0D98"/>
    <w:rsid w:val="007B11E2"/>
    <w:rsid w:val="007B26D6"/>
    <w:rsid w:val="007B2DE5"/>
    <w:rsid w:val="007B5278"/>
    <w:rsid w:val="007C013A"/>
    <w:rsid w:val="007C2501"/>
    <w:rsid w:val="007C532B"/>
    <w:rsid w:val="007C587A"/>
    <w:rsid w:val="007C75DC"/>
    <w:rsid w:val="007D144A"/>
    <w:rsid w:val="007D23B0"/>
    <w:rsid w:val="007D3728"/>
    <w:rsid w:val="007D372A"/>
    <w:rsid w:val="007D3C86"/>
    <w:rsid w:val="007D3DE4"/>
    <w:rsid w:val="007D4DB9"/>
    <w:rsid w:val="007D4DFF"/>
    <w:rsid w:val="007D4E1A"/>
    <w:rsid w:val="007D6638"/>
    <w:rsid w:val="007D7636"/>
    <w:rsid w:val="007E1748"/>
    <w:rsid w:val="007E1DFC"/>
    <w:rsid w:val="007E38C6"/>
    <w:rsid w:val="007E4CBB"/>
    <w:rsid w:val="007F1671"/>
    <w:rsid w:val="007F1CCD"/>
    <w:rsid w:val="007F2700"/>
    <w:rsid w:val="007F4D0E"/>
    <w:rsid w:val="007F6248"/>
    <w:rsid w:val="00800740"/>
    <w:rsid w:val="0080175B"/>
    <w:rsid w:val="008020BC"/>
    <w:rsid w:val="00804593"/>
    <w:rsid w:val="00805DBE"/>
    <w:rsid w:val="00807EFF"/>
    <w:rsid w:val="0081125E"/>
    <w:rsid w:val="0081604E"/>
    <w:rsid w:val="00820123"/>
    <w:rsid w:val="00822D50"/>
    <w:rsid w:val="00824CD9"/>
    <w:rsid w:val="00825FE3"/>
    <w:rsid w:val="00827FE9"/>
    <w:rsid w:val="008348E4"/>
    <w:rsid w:val="00835E07"/>
    <w:rsid w:val="00841AC7"/>
    <w:rsid w:val="008428D6"/>
    <w:rsid w:val="008455B9"/>
    <w:rsid w:val="00847196"/>
    <w:rsid w:val="00847199"/>
    <w:rsid w:val="008477AD"/>
    <w:rsid w:val="00847B4D"/>
    <w:rsid w:val="008503A5"/>
    <w:rsid w:val="00853443"/>
    <w:rsid w:val="00853F64"/>
    <w:rsid w:val="00854D89"/>
    <w:rsid w:val="00854E19"/>
    <w:rsid w:val="00855075"/>
    <w:rsid w:val="0086199D"/>
    <w:rsid w:val="00862013"/>
    <w:rsid w:val="00864509"/>
    <w:rsid w:val="00864A43"/>
    <w:rsid w:val="008672AB"/>
    <w:rsid w:val="008708D9"/>
    <w:rsid w:val="00870FAF"/>
    <w:rsid w:val="00871366"/>
    <w:rsid w:val="00872D45"/>
    <w:rsid w:val="00873547"/>
    <w:rsid w:val="00875745"/>
    <w:rsid w:val="00880B4E"/>
    <w:rsid w:val="008819A6"/>
    <w:rsid w:val="00881F1C"/>
    <w:rsid w:val="00882003"/>
    <w:rsid w:val="00883928"/>
    <w:rsid w:val="008839EE"/>
    <w:rsid w:val="00883A7C"/>
    <w:rsid w:val="008847D1"/>
    <w:rsid w:val="00885A44"/>
    <w:rsid w:val="00885FA6"/>
    <w:rsid w:val="008916C6"/>
    <w:rsid w:val="00891CD4"/>
    <w:rsid w:val="00893176"/>
    <w:rsid w:val="00894C68"/>
    <w:rsid w:val="008A0EB9"/>
    <w:rsid w:val="008A2160"/>
    <w:rsid w:val="008A22BD"/>
    <w:rsid w:val="008A36D7"/>
    <w:rsid w:val="008A3B4D"/>
    <w:rsid w:val="008A4713"/>
    <w:rsid w:val="008A5109"/>
    <w:rsid w:val="008A5487"/>
    <w:rsid w:val="008A56EB"/>
    <w:rsid w:val="008A6602"/>
    <w:rsid w:val="008B15BB"/>
    <w:rsid w:val="008B1A34"/>
    <w:rsid w:val="008B29D2"/>
    <w:rsid w:val="008B2C25"/>
    <w:rsid w:val="008B46C7"/>
    <w:rsid w:val="008B694B"/>
    <w:rsid w:val="008B7353"/>
    <w:rsid w:val="008B73A3"/>
    <w:rsid w:val="008C3B50"/>
    <w:rsid w:val="008C4BB2"/>
    <w:rsid w:val="008C50C4"/>
    <w:rsid w:val="008D1A60"/>
    <w:rsid w:val="008D1AD8"/>
    <w:rsid w:val="008D1EF2"/>
    <w:rsid w:val="008E1479"/>
    <w:rsid w:val="008E1740"/>
    <w:rsid w:val="008E2FB6"/>
    <w:rsid w:val="008E317C"/>
    <w:rsid w:val="008E4F4D"/>
    <w:rsid w:val="008E4FF2"/>
    <w:rsid w:val="008E7DDD"/>
    <w:rsid w:val="008F0E42"/>
    <w:rsid w:val="008F22F5"/>
    <w:rsid w:val="008F38AA"/>
    <w:rsid w:val="008F3D09"/>
    <w:rsid w:val="008F3DBF"/>
    <w:rsid w:val="008F538D"/>
    <w:rsid w:val="008F6E1C"/>
    <w:rsid w:val="008F75BC"/>
    <w:rsid w:val="008F76FB"/>
    <w:rsid w:val="008F7C27"/>
    <w:rsid w:val="00900459"/>
    <w:rsid w:val="009011A7"/>
    <w:rsid w:val="0090345B"/>
    <w:rsid w:val="00906692"/>
    <w:rsid w:val="00907158"/>
    <w:rsid w:val="00907508"/>
    <w:rsid w:val="00907AB3"/>
    <w:rsid w:val="00912551"/>
    <w:rsid w:val="00913B8B"/>
    <w:rsid w:val="00914E46"/>
    <w:rsid w:val="00916096"/>
    <w:rsid w:val="0091610F"/>
    <w:rsid w:val="00916D11"/>
    <w:rsid w:val="0092081A"/>
    <w:rsid w:val="0092185F"/>
    <w:rsid w:val="00921C01"/>
    <w:rsid w:val="0092263F"/>
    <w:rsid w:val="00924455"/>
    <w:rsid w:val="00925975"/>
    <w:rsid w:val="00925F61"/>
    <w:rsid w:val="009263E7"/>
    <w:rsid w:val="00926969"/>
    <w:rsid w:val="00926C94"/>
    <w:rsid w:val="00926F69"/>
    <w:rsid w:val="009428E0"/>
    <w:rsid w:val="0094464F"/>
    <w:rsid w:val="0095056C"/>
    <w:rsid w:val="009505DA"/>
    <w:rsid w:val="009507D2"/>
    <w:rsid w:val="00951096"/>
    <w:rsid w:val="00952122"/>
    <w:rsid w:val="00952FB6"/>
    <w:rsid w:val="00953077"/>
    <w:rsid w:val="0095453D"/>
    <w:rsid w:val="00954C3A"/>
    <w:rsid w:val="00956628"/>
    <w:rsid w:val="00956BD9"/>
    <w:rsid w:val="00957634"/>
    <w:rsid w:val="00957F22"/>
    <w:rsid w:val="00961EE2"/>
    <w:rsid w:val="0096303F"/>
    <w:rsid w:val="00963A6F"/>
    <w:rsid w:val="00966930"/>
    <w:rsid w:val="00966995"/>
    <w:rsid w:val="009669BA"/>
    <w:rsid w:val="009673B4"/>
    <w:rsid w:val="0097172C"/>
    <w:rsid w:val="00972E13"/>
    <w:rsid w:val="009744C1"/>
    <w:rsid w:val="00977ED9"/>
    <w:rsid w:val="00982BEE"/>
    <w:rsid w:val="00986418"/>
    <w:rsid w:val="00987463"/>
    <w:rsid w:val="009877EA"/>
    <w:rsid w:val="00991281"/>
    <w:rsid w:val="00993AE0"/>
    <w:rsid w:val="0099492D"/>
    <w:rsid w:val="00994934"/>
    <w:rsid w:val="00995844"/>
    <w:rsid w:val="00996159"/>
    <w:rsid w:val="009A14BA"/>
    <w:rsid w:val="009A382B"/>
    <w:rsid w:val="009A39A5"/>
    <w:rsid w:val="009B4753"/>
    <w:rsid w:val="009B5216"/>
    <w:rsid w:val="009B5481"/>
    <w:rsid w:val="009B5646"/>
    <w:rsid w:val="009C1D6A"/>
    <w:rsid w:val="009C2AAE"/>
    <w:rsid w:val="009C6365"/>
    <w:rsid w:val="009C6694"/>
    <w:rsid w:val="009C66BF"/>
    <w:rsid w:val="009C72ED"/>
    <w:rsid w:val="009C7716"/>
    <w:rsid w:val="009C7E09"/>
    <w:rsid w:val="009C7E54"/>
    <w:rsid w:val="009E01EE"/>
    <w:rsid w:val="009E07B3"/>
    <w:rsid w:val="009E180C"/>
    <w:rsid w:val="009E31B3"/>
    <w:rsid w:val="009E5787"/>
    <w:rsid w:val="009E66C8"/>
    <w:rsid w:val="009E7BFA"/>
    <w:rsid w:val="009F09C1"/>
    <w:rsid w:val="009F17E4"/>
    <w:rsid w:val="009F23D1"/>
    <w:rsid w:val="009F2975"/>
    <w:rsid w:val="009F3CD9"/>
    <w:rsid w:val="009F4B4F"/>
    <w:rsid w:val="009F59C9"/>
    <w:rsid w:val="009F7453"/>
    <w:rsid w:val="00A003C0"/>
    <w:rsid w:val="00A00C09"/>
    <w:rsid w:val="00A0159B"/>
    <w:rsid w:val="00A02C91"/>
    <w:rsid w:val="00A034F2"/>
    <w:rsid w:val="00A03519"/>
    <w:rsid w:val="00A03FE5"/>
    <w:rsid w:val="00A041CC"/>
    <w:rsid w:val="00A06196"/>
    <w:rsid w:val="00A07A2F"/>
    <w:rsid w:val="00A11183"/>
    <w:rsid w:val="00A117BB"/>
    <w:rsid w:val="00A11DF4"/>
    <w:rsid w:val="00A11E01"/>
    <w:rsid w:val="00A12EDB"/>
    <w:rsid w:val="00A137B8"/>
    <w:rsid w:val="00A21815"/>
    <w:rsid w:val="00A21CE8"/>
    <w:rsid w:val="00A249F1"/>
    <w:rsid w:val="00A259F5"/>
    <w:rsid w:val="00A275E8"/>
    <w:rsid w:val="00A306D2"/>
    <w:rsid w:val="00A3128B"/>
    <w:rsid w:val="00A31717"/>
    <w:rsid w:val="00A3241F"/>
    <w:rsid w:val="00A33D98"/>
    <w:rsid w:val="00A34564"/>
    <w:rsid w:val="00A34D61"/>
    <w:rsid w:val="00A354EB"/>
    <w:rsid w:val="00A35E67"/>
    <w:rsid w:val="00A406AE"/>
    <w:rsid w:val="00A42F18"/>
    <w:rsid w:val="00A46291"/>
    <w:rsid w:val="00A4733E"/>
    <w:rsid w:val="00A517F7"/>
    <w:rsid w:val="00A52C33"/>
    <w:rsid w:val="00A5386C"/>
    <w:rsid w:val="00A53F79"/>
    <w:rsid w:val="00A575CF"/>
    <w:rsid w:val="00A60229"/>
    <w:rsid w:val="00A60FA2"/>
    <w:rsid w:val="00A61288"/>
    <w:rsid w:val="00A63155"/>
    <w:rsid w:val="00A635BB"/>
    <w:rsid w:val="00A6426A"/>
    <w:rsid w:val="00A67E91"/>
    <w:rsid w:val="00A70BC7"/>
    <w:rsid w:val="00A711B3"/>
    <w:rsid w:val="00A71D43"/>
    <w:rsid w:val="00A71E64"/>
    <w:rsid w:val="00A7436F"/>
    <w:rsid w:val="00A74504"/>
    <w:rsid w:val="00A75A6F"/>
    <w:rsid w:val="00A76894"/>
    <w:rsid w:val="00A76A2A"/>
    <w:rsid w:val="00A803D3"/>
    <w:rsid w:val="00A809B3"/>
    <w:rsid w:val="00A80A01"/>
    <w:rsid w:val="00A80FDC"/>
    <w:rsid w:val="00A81969"/>
    <w:rsid w:val="00A84619"/>
    <w:rsid w:val="00A84A3E"/>
    <w:rsid w:val="00A910D9"/>
    <w:rsid w:val="00A9164D"/>
    <w:rsid w:val="00A9251B"/>
    <w:rsid w:val="00A96A99"/>
    <w:rsid w:val="00AA1604"/>
    <w:rsid w:val="00AA29C9"/>
    <w:rsid w:val="00AA5AC9"/>
    <w:rsid w:val="00AA6DB1"/>
    <w:rsid w:val="00AA7384"/>
    <w:rsid w:val="00AB123C"/>
    <w:rsid w:val="00AB6F3A"/>
    <w:rsid w:val="00AB7907"/>
    <w:rsid w:val="00AC3193"/>
    <w:rsid w:val="00AC4F65"/>
    <w:rsid w:val="00AD03DF"/>
    <w:rsid w:val="00AD0979"/>
    <w:rsid w:val="00AD1F2D"/>
    <w:rsid w:val="00AD2506"/>
    <w:rsid w:val="00AD3C95"/>
    <w:rsid w:val="00AD3EC6"/>
    <w:rsid w:val="00AD73BC"/>
    <w:rsid w:val="00AE13DE"/>
    <w:rsid w:val="00AE18D8"/>
    <w:rsid w:val="00AE3B22"/>
    <w:rsid w:val="00AE3ED8"/>
    <w:rsid w:val="00AE5E17"/>
    <w:rsid w:val="00AE6DE4"/>
    <w:rsid w:val="00AE6FB4"/>
    <w:rsid w:val="00AE7FE0"/>
    <w:rsid w:val="00AF018E"/>
    <w:rsid w:val="00AF2942"/>
    <w:rsid w:val="00AF6ECE"/>
    <w:rsid w:val="00B052CF"/>
    <w:rsid w:val="00B07C46"/>
    <w:rsid w:val="00B07E02"/>
    <w:rsid w:val="00B07EDE"/>
    <w:rsid w:val="00B10344"/>
    <w:rsid w:val="00B11165"/>
    <w:rsid w:val="00B1129F"/>
    <w:rsid w:val="00B12176"/>
    <w:rsid w:val="00B152AF"/>
    <w:rsid w:val="00B15E86"/>
    <w:rsid w:val="00B232CE"/>
    <w:rsid w:val="00B24FD6"/>
    <w:rsid w:val="00B262C1"/>
    <w:rsid w:val="00B265A1"/>
    <w:rsid w:val="00B27C47"/>
    <w:rsid w:val="00B33B20"/>
    <w:rsid w:val="00B400D6"/>
    <w:rsid w:val="00B40B5F"/>
    <w:rsid w:val="00B411B5"/>
    <w:rsid w:val="00B45AE5"/>
    <w:rsid w:val="00B5064B"/>
    <w:rsid w:val="00B5071B"/>
    <w:rsid w:val="00B517AA"/>
    <w:rsid w:val="00B548EA"/>
    <w:rsid w:val="00B55EFD"/>
    <w:rsid w:val="00B57872"/>
    <w:rsid w:val="00B61328"/>
    <w:rsid w:val="00B66FFB"/>
    <w:rsid w:val="00B674C2"/>
    <w:rsid w:val="00B67B2C"/>
    <w:rsid w:val="00B67CEF"/>
    <w:rsid w:val="00B71BA4"/>
    <w:rsid w:val="00B724B9"/>
    <w:rsid w:val="00B728C1"/>
    <w:rsid w:val="00B72DBF"/>
    <w:rsid w:val="00B72DE6"/>
    <w:rsid w:val="00B73A88"/>
    <w:rsid w:val="00B73CB3"/>
    <w:rsid w:val="00B74114"/>
    <w:rsid w:val="00B755E3"/>
    <w:rsid w:val="00B77700"/>
    <w:rsid w:val="00B77B70"/>
    <w:rsid w:val="00B805BB"/>
    <w:rsid w:val="00B819FB"/>
    <w:rsid w:val="00B8215B"/>
    <w:rsid w:val="00B83171"/>
    <w:rsid w:val="00B83D95"/>
    <w:rsid w:val="00B84693"/>
    <w:rsid w:val="00B851B6"/>
    <w:rsid w:val="00B8546C"/>
    <w:rsid w:val="00B85731"/>
    <w:rsid w:val="00B85B34"/>
    <w:rsid w:val="00B91EA4"/>
    <w:rsid w:val="00B9303E"/>
    <w:rsid w:val="00B94563"/>
    <w:rsid w:val="00B95F57"/>
    <w:rsid w:val="00B96F26"/>
    <w:rsid w:val="00B97FB2"/>
    <w:rsid w:val="00BA1797"/>
    <w:rsid w:val="00BA1ABF"/>
    <w:rsid w:val="00BA47D6"/>
    <w:rsid w:val="00BA628E"/>
    <w:rsid w:val="00BA6D7B"/>
    <w:rsid w:val="00BA7E4E"/>
    <w:rsid w:val="00BB18EF"/>
    <w:rsid w:val="00BB1A8B"/>
    <w:rsid w:val="00BB5015"/>
    <w:rsid w:val="00BC08CF"/>
    <w:rsid w:val="00BC3DBC"/>
    <w:rsid w:val="00BC3FDE"/>
    <w:rsid w:val="00BC432D"/>
    <w:rsid w:val="00BC4DF4"/>
    <w:rsid w:val="00BC65E5"/>
    <w:rsid w:val="00BD088B"/>
    <w:rsid w:val="00BD3369"/>
    <w:rsid w:val="00BD36EA"/>
    <w:rsid w:val="00BE5A8C"/>
    <w:rsid w:val="00BE659D"/>
    <w:rsid w:val="00BE69AC"/>
    <w:rsid w:val="00BF1404"/>
    <w:rsid w:val="00BF1AA4"/>
    <w:rsid w:val="00BF1D3B"/>
    <w:rsid w:val="00BF1F45"/>
    <w:rsid w:val="00BF3162"/>
    <w:rsid w:val="00BF3D37"/>
    <w:rsid w:val="00C00118"/>
    <w:rsid w:val="00C01160"/>
    <w:rsid w:val="00C01F57"/>
    <w:rsid w:val="00C02202"/>
    <w:rsid w:val="00C024A5"/>
    <w:rsid w:val="00C02893"/>
    <w:rsid w:val="00C047C7"/>
    <w:rsid w:val="00C05312"/>
    <w:rsid w:val="00C0686D"/>
    <w:rsid w:val="00C1049E"/>
    <w:rsid w:val="00C10F81"/>
    <w:rsid w:val="00C1299A"/>
    <w:rsid w:val="00C12D4F"/>
    <w:rsid w:val="00C13AA2"/>
    <w:rsid w:val="00C14C3C"/>
    <w:rsid w:val="00C14E3A"/>
    <w:rsid w:val="00C167AE"/>
    <w:rsid w:val="00C23696"/>
    <w:rsid w:val="00C2537A"/>
    <w:rsid w:val="00C26E1E"/>
    <w:rsid w:val="00C2715F"/>
    <w:rsid w:val="00C27448"/>
    <w:rsid w:val="00C27B0B"/>
    <w:rsid w:val="00C316CB"/>
    <w:rsid w:val="00C32F76"/>
    <w:rsid w:val="00C3307B"/>
    <w:rsid w:val="00C333AE"/>
    <w:rsid w:val="00C33AA2"/>
    <w:rsid w:val="00C35447"/>
    <w:rsid w:val="00C36A18"/>
    <w:rsid w:val="00C4180B"/>
    <w:rsid w:val="00C42519"/>
    <w:rsid w:val="00C5071F"/>
    <w:rsid w:val="00C50A9D"/>
    <w:rsid w:val="00C51993"/>
    <w:rsid w:val="00C53533"/>
    <w:rsid w:val="00C538D1"/>
    <w:rsid w:val="00C552DE"/>
    <w:rsid w:val="00C56BCC"/>
    <w:rsid w:val="00C56C1B"/>
    <w:rsid w:val="00C60ACD"/>
    <w:rsid w:val="00C6307E"/>
    <w:rsid w:val="00C66224"/>
    <w:rsid w:val="00C67112"/>
    <w:rsid w:val="00C70D56"/>
    <w:rsid w:val="00C7191A"/>
    <w:rsid w:val="00C72235"/>
    <w:rsid w:val="00C72BE7"/>
    <w:rsid w:val="00C73328"/>
    <w:rsid w:val="00C73B52"/>
    <w:rsid w:val="00C74DAB"/>
    <w:rsid w:val="00C7550C"/>
    <w:rsid w:val="00C77826"/>
    <w:rsid w:val="00C81643"/>
    <w:rsid w:val="00C819A1"/>
    <w:rsid w:val="00C928BD"/>
    <w:rsid w:val="00CA0613"/>
    <w:rsid w:val="00CA2A1A"/>
    <w:rsid w:val="00CA3B47"/>
    <w:rsid w:val="00CA45F9"/>
    <w:rsid w:val="00CA6678"/>
    <w:rsid w:val="00CA71F5"/>
    <w:rsid w:val="00CB0259"/>
    <w:rsid w:val="00CB2D56"/>
    <w:rsid w:val="00CB2FA8"/>
    <w:rsid w:val="00CB43FF"/>
    <w:rsid w:val="00CB5FE9"/>
    <w:rsid w:val="00CB64B0"/>
    <w:rsid w:val="00CC0B9E"/>
    <w:rsid w:val="00CC4279"/>
    <w:rsid w:val="00CC443A"/>
    <w:rsid w:val="00CC48E5"/>
    <w:rsid w:val="00CC4DDC"/>
    <w:rsid w:val="00CC79E6"/>
    <w:rsid w:val="00CD0C8D"/>
    <w:rsid w:val="00CD420A"/>
    <w:rsid w:val="00CE0D8B"/>
    <w:rsid w:val="00CE1AB6"/>
    <w:rsid w:val="00CE2546"/>
    <w:rsid w:val="00CE3A28"/>
    <w:rsid w:val="00CE4E2C"/>
    <w:rsid w:val="00CE6465"/>
    <w:rsid w:val="00CE6D6F"/>
    <w:rsid w:val="00CF07B7"/>
    <w:rsid w:val="00CF43AE"/>
    <w:rsid w:val="00D00713"/>
    <w:rsid w:val="00D021D1"/>
    <w:rsid w:val="00D028AA"/>
    <w:rsid w:val="00D03856"/>
    <w:rsid w:val="00D03BF2"/>
    <w:rsid w:val="00D04271"/>
    <w:rsid w:val="00D052C5"/>
    <w:rsid w:val="00D11CC9"/>
    <w:rsid w:val="00D20633"/>
    <w:rsid w:val="00D21B80"/>
    <w:rsid w:val="00D2393B"/>
    <w:rsid w:val="00D24A36"/>
    <w:rsid w:val="00D25854"/>
    <w:rsid w:val="00D30484"/>
    <w:rsid w:val="00D31844"/>
    <w:rsid w:val="00D31A0B"/>
    <w:rsid w:val="00D31D97"/>
    <w:rsid w:val="00D329FB"/>
    <w:rsid w:val="00D32CF0"/>
    <w:rsid w:val="00D32E59"/>
    <w:rsid w:val="00D3445E"/>
    <w:rsid w:val="00D35F66"/>
    <w:rsid w:val="00D36AA0"/>
    <w:rsid w:val="00D37454"/>
    <w:rsid w:val="00D377D1"/>
    <w:rsid w:val="00D37C18"/>
    <w:rsid w:val="00D433DE"/>
    <w:rsid w:val="00D437D8"/>
    <w:rsid w:val="00D44129"/>
    <w:rsid w:val="00D4419E"/>
    <w:rsid w:val="00D465B2"/>
    <w:rsid w:val="00D46B7A"/>
    <w:rsid w:val="00D47677"/>
    <w:rsid w:val="00D50B22"/>
    <w:rsid w:val="00D50C1E"/>
    <w:rsid w:val="00D51E4D"/>
    <w:rsid w:val="00D53A8C"/>
    <w:rsid w:val="00D64286"/>
    <w:rsid w:val="00D707C4"/>
    <w:rsid w:val="00D71211"/>
    <w:rsid w:val="00D71BB8"/>
    <w:rsid w:val="00D74061"/>
    <w:rsid w:val="00D74505"/>
    <w:rsid w:val="00D74751"/>
    <w:rsid w:val="00D7747F"/>
    <w:rsid w:val="00D80A06"/>
    <w:rsid w:val="00D82E75"/>
    <w:rsid w:val="00D90013"/>
    <w:rsid w:val="00D902E5"/>
    <w:rsid w:val="00D90372"/>
    <w:rsid w:val="00D929EC"/>
    <w:rsid w:val="00D93B95"/>
    <w:rsid w:val="00D95DD5"/>
    <w:rsid w:val="00D970A3"/>
    <w:rsid w:val="00DA053E"/>
    <w:rsid w:val="00DA089E"/>
    <w:rsid w:val="00DA1467"/>
    <w:rsid w:val="00DA3354"/>
    <w:rsid w:val="00DA39EF"/>
    <w:rsid w:val="00DA4959"/>
    <w:rsid w:val="00DA5524"/>
    <w:rsid w:val="00DA6A64"/>
    <w:rsid w:val="00DA79F0"/>
    <w:rsid w:val="00DA7CA9"/>
    <w:rsid w:val="00DB035D"/>
    <w:rsid w:val="00DB0459"/>
    <w:rsid w:val="00DB5B8B"/>
    <w:rsid w:val="00DB7350"/>
    <w:rsid w:val="00DC19B2"/>
    <w:rsid w:val="00DC243A"/>
    <w:rsid w:val="00DD2869"/>
    <w:rsid w:val="00DD3077"/>
    <w:rsid w:val="00DD6F30"/>
    <w:rsid w:val="00DE0549"/>
    <w:rsid w:val="00DE0A35"/>
    <w:rsid w:val="00DE22D0"/>
    <w:rsid w:val="00DE275B"/>
    <w:rsid w:val="00DE71C6"/>
    <w:rsid w:val="00DF1363"/>
    <w:rsid w:val="00DF2882"/>
    <w:rsid w:val="00DF2930"/>
    <w:rsid w:val="00DF6A62"/>
    <w:rsid w:val="00E0141A"/>
    <w:rsid w:val="00E023DD"/>
    <w:rsid w:val="00E02615"/>
    <w:rsid w:val="00E02B90"/>
    <w:rsid w:val="00E04E54"/>
    <w:rsid w:val="00E056E6"/>
    <w:rsid w:val="00E059FD"/>
    <w:rsid w:val="00E0680B"/>
    <w:rsid w:val="00E10DF4"/>
    <w:rsid w:val="00E12F8B"/>
    <w:rsid w:val="00E154E4"/>
    <w:rsid w:val="00E15F9A"/>
    <w:rsid w:val="00E22781"/>
    <w:rsid w:val="00E22DC8"/>
    <w:rsid w:val="00E22F33"/>
    <w:rsid w:val="00E26320"/>
    <w:rsid w:val="00E27868"/>
    <w:rsid w:val="00E27A08"/>
    <w:rsid w:val="00E300F1"/>
    <w:rsid w:val="00E3034C"/>
    <w:rsid w:val="00E31D85"/>
    <w:rsid w:val="00E33C57"/>
    <w:rsid w:val="00E33E29"/>
    <w:rsid w:val="00E36F1F"/>
    <w:rsid w:val="00E41C29"/>
    <w:rsid w:val="00E47E1E"/>
    <w:rsid w:val="00E500BD"/>
    <w:rsid w:val="00E50192"/>
    <w:rsid w:val="00E53255"/>
    <w:rsid w:val="00E547EA"/>
    <w:rsid w:val="00E54B7C"/>
    <w:rsid w:val="00E54F19"/>
    <w:rsid w:val="00E57C74"/>
    <w:rsid w:val="00E57D4C"/>
    <w:rsid w:val="00E61313"/>
    <w:rsid w:val="00E62012"/>
    <w:rsid w:val="00E63181"/>
    <w:rsid w:val="00E63962"/>
    <w:rsid w:val="00E63E14"/>
    <w:rsid w:val="00E64DC6"/>
    <w:rsid w:val="00E651F0"/>
    <w:rsid w:val="00E66789"/>
    <w:rsid w:val="00E67217"/>
    <w:rsid w:val="00E67BDB"/>
    <w:rsid w:val="00E71A78"/>
    <w:rsid w:val="00E72404"/>
    <w:rsid w:val="00E738EC"/>
    <w:rsid w:val="00E74C5D"/>
    <w:rsid w:val="00E7507E"/>
    <w:rsid w:val="00E750BF"/>
    <w:rsid w:val="00E75862"/>
    <w:rsid w:val="00E763CF"/>
    <w:rsid w:val="00E764D1"/>
    <w:rsid w:val="00E776AC"/>
    <w:rsid w:val="00E80C62"/>
    <w:rsid w:val="00E8215F"/>
    <w:rsid w:val="00E84F64"/>
    <w:rsid w:val="00E861AE"/>
    <w:rsid w:val="00E867CB"/>
    <w:rsid w:val="00E9065B"/>
    <w:rsid w:val="00E907C1"/>
    <w:rsid w:val="00E91258"/>
    <w:rsid w:val="00E931B6"/>
    <w:rsid w:val="00E93B2C"/>
    <w:rsid w:val="00E948DE"/>
    <w:rsid w:val="00E96845"/>
    <w:rsid w:val="00E97060"/>
    <w:rsid w:val="00E972D6"/>
    <w:rsid w:val="00EA0276"/>
    <w:rsid w:val="00EA11EE"/>
    <w:rsid w:val="00EA336A"/>
    <w:rsid w:val="00EA4ECD"/>
    <w:rsid w:val="00EA5C97"/>
    <w:rsid w:val="00EA6601"/>
    <w:rsid w:val="00EA7BDF"/>
    <w:rsid w:val="00EB3562"/>
    <w:rsid w:val="00EB39BA"/>
    <w:rsid w:val="00EB3C4D"/>
    <w:rsid w:val="00EB52FF"/>
    <w:rsid w:val="00EB7063"/>
    <w:rsid w:val="00EB7BFA"/>
    <w:rsid w:val="00EC1A06"/>
    <w:rsid w:val="00EC3C5E"/>
    <w:rsid w:val="00EC65CA"/>
    <w:rsid w:val="00EC7CFF"/>
    <w:rsid w:val="00ED1038"/>
    <w:rsid w:val="00ED2F3B"/>
    <w:rsid w:val="00ED312B"/>
    <w:rsid w:val="00ED33D7"/>
    <w:rsid w:val="00ED43B9"/>
    <w:rsid w:val="00ED6E7F"/>
    <w:rsid w:val="00EE0094"/>
    <w:rsid w:val="00EE0843"/>
    <w:rsid w:val="00EE14A2"/>
    <w:rsid w:val="00EE21FD"/>
    <w:rsid w:val="00EE28C1"/>
    <w:rsid w:val="00EE2A63"/>
    <w:rsid w:val="00EE2D07"/>
    <w:rsid w:val="00EE3036"/>
    <w:rsid w:val="00EE3601"/>
    <w:rsid w:val="00EE3C9B"/>
    <w:rsid w:val="00EE4AFB"/>
    <w:rsid w:val="00EE4C96"/>
    <w:rsid w:val="00EE6D65"/>
    <w:rsid w:val="00EE7E84"/>
    <w:rsid w:val="00EF02DA"/>
    <w:rsid w:val="00EF1C6A"/>
    <w:rsid w:val="00EF38F7"/>
    <w:rsid w:val="00EF3CB7"/>
    <w:rsid w:val="00EF3EAD"/>
    <w:rsid w:val="00EF6109"/>
    <w:rsid w:val="00F00616"/>
    <w:rsid w:val="00F01823"/>
    <w:rsid w:val="00F01C53"/>
    <w:rsid w:val="00F02516"/>
    <w:rsid w:val="00F03D9A"/>
    <w:rsid w:val="00F056B5"/>
    <w:rsid w:val="00F077F7"/>
    <w:rsid w:val="00F0798F"/>
    <w:rsid w:val="00F110D9"/>
    <w:rsid w:val="00F111A2"/>
    <w:rsid w:val="00F1269C"/>
    <w:rsid w:val="00F1413A"/>
    <w:rsid w:val="00F144F2"/>
    <w:rsid w:val="00F1604B"/>
    <w:rsid w:val="00F16398"/>
    <w:rsid w:val="00F175A2"/>
    <w:rsid w:val="00F240DE"/>
    <w:rsid w:val="00F24105"/>
    <w:rsid w:val="00F24265"/>
    <w:rsid w:val="00F2594B"/>
    <w:rsid w:val="00F25F4A"/>
    <w:rsid w:val="00F30AC6"/>
    <w:rsid w:val="00F30E78"/>
    <w:rsid w:val="00F3109A"/>
    <w:rsid w:val="00F316CC"/>
    <w:rsid w:val="00F31FD1"/>
    <w:rsid w:val="00F330F2"/>
    <w:rsid w:val="00F33212"/>
    <w:rsid w:val="00F34115"/>
    <w:rsid w:val="00F34817"/>
    <w:rsid w:val="00F35DF0"/>
    <w:rsid w:val="00F37A06"/>
    <w:rsid w:val="00F37A5A"/>
    <w:rsid w:val="00F400D3"/>
    <w:rsid w:val="00F402D4"/>
    <w:rsid w:val="00F42839"/>
    <w:rsid w:val="00F42A94"/>
    <w:rsid w:val="00F43B2E"/>
    <w:rsid w:val="00F44036"/>
    <w:rsid w:val="00F44C19"/>
    <w:rsid w:val="00F44C7D"/>
    <w:rsid w:val="00F46E8A"/>
    <w:rsid w:val="00F50907"/>
    <w:rsid w:val="00F50BC3"/>
    <w:rsid w:val="00F50DE2"/>
    <w:rsid w:val="00F51D5B"/>
    <w:rsid w:val="00F5218E"/>
    <w:rsid w:val="00F521C3"/>
    <w:rsid w:val="00F525B0"/>
    <w:rsid w:val="00F62080"/>
    <w:rsid w:val="00F6290B"/>
    <w:rsid w:val="00F64E58"/>
    <w:rsid w:val="00F679B9"/>
    <w:rsid w:val="00F705D8"/>
    <w:rsid w:val="00F71B82"/>
    <w:rsid w:val="00F7406D"/>
    <w:rsid w:val="00F74A2D"/>
    <w:rsid w:val="00F7590D"/>
    <w:rsid w:val="00F81FE7"/>
    <w:rsid w:val="00F8235E"/>
    <w:rsid w:val="00F83ED1"/>
    <w:rsid w:val="00F840EF"/>
    <w:rsid w:val="00F8464D"/>
    <w:rsid w:val="00F848AE"/>
    <w:rsid w:val="00F864F6"/>
    <w:rsid w:val="00F9070A"/>
    <w:rsid w:val="00F97F82"/>
    <w:rsid w:val="00FA163A"/>
    <w:rsid w:val="00FA2241"/>
    <w:rsid w:val="00FA24EF"/>
    <w:rsid w:val="00FA2AC0"/>
    <w:rsid w:val="00FA32EC"/>
    <w:rsid w:val="00FA421F"/>
    <w:rsid w:val="00FA5172"/>
    <w:rsid w:val="00FA58D4"/>
    <w:rsid w:val="00FA5FA0"/>
    <w:rsid w:val="00FA63D7"/>
    <w:rsid w:val="00FA6AEF"/>
    <w:rsid w:val="00FA6D13"/>
    <w:rsid w:val="00FA772F"/>
    <w:rsid w:val="00FB008D"/>
    <w:rsid w:val="00FB2BAE"/>
    <w:rsid w:val="00FB2ED9"/>
    <w:rsid w:val="00FB2F1B"/>
    <w:rsid w:val="00FB44F3"/>
    <w:rsid w:val="00FB50B5"/>
    <w:rsid w:val="00FB5384"/>
    <w:rsid w:val="00FB5E59"/>
    <w:rsid w:val="00FB6633"/>
    <w:rsid w:val="00FB67FB"/>
    <w:rsid w:val="00FB74E7"/>
    <w:rsid w:val="00FB7748"/>
    <w:rsid w:val="00FC07DA"/>
    <w:rsid w:val="00FC4D99"/>
    <w:rsid w:val="00FC6DDE"/>
    <w:rsid w:val="00FD00AF"/>
    <w:rsid w:val="00FD14B1"/>
    <w:rsid w:val="00FD35E5"/>
    <w:rsid w:val="00FD6FE9"/>
    <w:rsid w:val="00FD72EC"/>
    <w:rsid w:val="00FD73B9"/>
    <w:rsid w:val="00FD798B"/>
    <w:rsid w:val="00FE06B4"/>
    <w:rsid w:val="00FE0C09"/>
    <w:rsid w:val="00FE2E65"/>
    <w:rsid w:val="00FE7169"/>
    <w:rsid w:val="00FE7E46"/>
    <w:rsid w:val="00FF01E1"/>
    <w:rsid w:val="00FF07CF"/>
    <w:rsid w:val="03031491"/>
    <w:rsid w:val="048D195A"/>
    <w:rsid w:val="04FC403D"/>
    <w:rsid w:val="0A572A77"/>
    <w:rsid w:val="0D246BD4"/>
    <w:rsid w:val="18754787"/>
    <w:rsid w:val="19960E59"/>
    <w:rsid w:val="1A7C336C"/>
    <w:rsid w:val="1CD87B1B"/>
    <w:rsid w:val="1EFF4DAB"/>
    <w:rsid w:val="202D5948"/>
    <w:rsid w:val="22574EFE"/>
    <w:rsid w:val="22AD4B1E"/>
    <w:rsid w:val="231C0F5F"/>
    <w:rsid w:val="232E7902"/>
    <w:rsid w:val="261A071C"/>
    <w:rsid w:val="27AA43B2"/>
    <w:rsid w:val="2A5D507B"/>
    <w:rsid w:val="2AF754D0"/>
    <w:rsid w:val="3163741B"/>
    <w:rsid w:val="36742F6C"/>
    <w:rsid w:val="3ADA4EFF"/>
    <w:rsid w:val="3BD74C8E"/>
    <w:rsid w:val="3C8A7F52"/>
    <w:rsid w:val="405F5252"/>
    <w:rsid w:val="41661D09"/>
    <w:rsid w:val="445844F8"/>
    <w:rsid w:val="44F71E6A"/>
    <w:rsid w:val="46D13276"/>
    <w:rsid w:val="46E464B1"/>
    <w:rsid w:val="47CC3727"/>
    <w:rsid w:val="487A6453"/>
    <w:rsid w:val="4E1D3A41"/>
    <w:rsid w:val="51375205"/>
    <w:rsid w:val="515B76A7"/>
    <w:rsid w:val="52F703CB"/>
    <w:rsid w:val="58144503"/>
    <w:rsid w:val="58AB3463"/>
    <w:rsid w:val="59E940B2"/>
    <w:rsid w:val="5A0B1670"/>
    <w:rsid w:val="5FAF36A8"/>
    <w:rsid w:val="614147D4"/>
    <w:rsid w:val="625642AF"/>
    <w:rsid w:val="652C579B"/>
    <w:rsid w:val="65A45331"/>
    <w:rsid w:val="65AC71B8"/>
    <w:rsid w:val="691B1DAE"/>
    <w:rsid w:val="6A745BE9"/>
    <w:rsid w:val="6B321631"/>
    <w:rsid w:val="6DE203A3"/>
    <w:rsid w:val="737C3F3E"/>
    <w:rsid w:val="7C9839D1"/>
    <w:rsid w:val="7D344D95"/>
    <w:rsid w:val="7E9C0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Theme="minorEastAsia" w:cstheme="minorBidi"/>
      <w:kern w:val="2"/>
      <w:sz w:val="21"/>
      <w:szCs w:val="22"/>
      <w:lang w:val="en-US" w:eastAsia="zh-CN" w:bidi="ar-SA"/>
    </w:rPr>
  </w:style>
  <w:style w:type="paragraph" w:styleId="2">
    <w:name w:val="heading 1"/>
    <w:next w:val="1"/>
    <w:link w:val="24"/>
    <w:qFormat/>
    <w:uiPriority w:val="9"/>
    <w:pPr>
      <w:keepNext/>
      <w:keepLines/>
      <w:spacing w:before="100" w:beforeLines="100" w:after="100" w:afterLines="100"/>
      <w:outlineLvl w:val="0"/>
    </w:pPr>
    <w:rPr>
      <w:rFonts w:ascii="Times New Roman" w:hAnsi="Times New Roman" w:eastAsia="黑体" w:cstheme="minorBidi"/>
      <w:b/>
      <w:bCs/>
      <w:kern w:val="44"/>
      <w:sz w:val="24"/>
      <w:szCs w:val="44"/>
      <w:lang w:val="en-US" w:eastAsia="zh-CN" w:bidi="ar-SA"/>
    </w:rPr>
  </w:style>
  <w:style w:type="paragraph" w:styleId="3">
    <w:name w:val="heading 2"/>
    <w:next w:val="1"/>
    <w:link w:val="25"/>
    <w:unhideWhenUsed/>
    <w:qFormat/>
    <w:uiPriority w:val="9"/>
    <w:pPr>
      <w:widowControl w:val="0"/>
      <w:spacing w:before="50" w:beforeLines="50" w:after="50" w:afterLines="50"/>
      <w:outlineLvl w:val="1"/>
    </w:pPr>
    <w:rPr>
      <w:rFonts w:ascii="黑体" w:hAnsi="黑体" w:eastAsia="黑体" w:cstheme="majorBidi"/>
      <w:bCs/>
      <w:kern w:val="2"/>
      <w:sz w:val="21"/>
      <w:szCs w:val="32"/>
      <w:lang w:val="en-US" w:eastAsia="zh-CN" w:bidi="ar-SA"/>
    </w:rPr>
  </w:style>
  <w:style w:type="paragraph" w:styleId="4">
    <w:name w:val="heading 3"/>
    <w:basedOn w:val="1"/>
    <w:next w:val="1"/>
    <w:link w:val="3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1"/>
    <w:unhideWhenUsed/>
    <w:qFormat/>
    <w:uiPriority w:val="99"/>
    <w:pPr>
      <w:jc w:val="left"/>
    </w:pPr>
  </w:style>
  <w:style w:type="paragraph" w:styleId="7">
    <w:name w:val="Date"/>
    <w:basedOn w:val="1"/>
    <w:next w:val="1"/>
    <w:link w:val="58"/>
    <w:semiHidden/>
    <w:unhideWhenUsed/>
    <w:qFormat/>
    <w:uiPriority w:val="99"/>
    <w:pPr>
      <w:ind w:left="100" w:leftChars="2500"/>
    </w:pPr>
  </w:style>
  <w:style w:type="paragraph" w:styleId="8">
    <w:name w:val="Balloon Text"/>
    <w:basedOn w:val="1"/>
    <w:link w:val="33"/>
    <w:semiHidden/>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tabs>
        <w:tab w:val="right" w:leader="dot" w:pos="8296"/>
      </w:tabs>
      <w:ind w:firstLine="0" w:firstLineChars="0"/>
    </w:pPr>
  </w:style>
  <w:style w:type="paragraph" w:styleId="12">
    <w:name w:val="toc 2"/>
    <w:basedOn w:val="1"/>
    <w:next w:val="1"/>
    <w:autoRedefine/>
    <w:unhideWhenUsed/>
    <w:qFormat/>
    <w:uiPriority w:val="39"/>
    <w:pPr>
      <w:tabs>
        <w:tab w:val="left" w:pos="709"/>
        <w:tab w:val="right" w:leader="dot" w:pos="8296"/>
      </w:tabs>
      <w:ind w:firstLine="283" w:firstLineChars="135"/>
    </w:p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4">
    <w:name w:val="Normal (Web)"/>
    <w:basedOn w:val="1"/>
    <w:autoRedefine/>
    <w:unhideWhenUsed/>
    <w:qFormat/>
    <w:uiPriority w:val="99"/>
    <w:pPr>
      <w:widowControl/>
      <w:numPr>
        <w:ilvl w:val="0"/>
        <w:numId w:val="1"/>
      </w:numPr>
      <w:shd w:val="clear" w:color="auto" w:fill="FFFFFF"/>
      <w:spacing w:line="300" w:lineRule="auto"/>
      <w:ind w:firstLine="0" w:firstLineChars="0"/>
    </w:pPr>
    <w:rPr>
      <w:rFonts w:ascii="宋体" w:hAnsi="宋体" w:eastAsia="宋体" w:cs="宋体"/>
      <w:kern w:val="0"/>
      <w:szCs w:val="24"/>
    </w:rPr>
  </w:style>
  <w:style w:type="paragraph" w:styleId="15">
    <w:name w:val="annotation subject"/>
    <w:basedOn w:val="6"/>
    <w:next w:val="6"/>
    <w:link w:val="32"/>
    <w:semiHidden/>
    <w:unhideWhenUsed/>
    <w:qFormat/>
    <w:uiPriority w:val="99"/>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954F72"/>
      <w:u w:val="single"/>
    </w:rPr>
  </w:style>
  <w:style w:type="character" w:styleId="20">
    <w:name w:val="Hyperlink"/>
    <w:basedOn w:val="18"/>
    <w:unhideWhenUsed/>
    <w:qFormat/>
    <w:uiPriority w:val="99"/>
    <w:rPr>
      <w:color w:val="0563C1" w:themeColor="hyperlink"/>
      <w:u w:val="single"/>
      <w14:textFill>
        <w14:solidFill>
          <w14:schemeClr w14:val="hlink"/>
        </w14:solidFill>
      </w14:textFill>
    </w:rPr>
  </w:style>
  <w:style w:type="character" w:styleId="21">
    <w:name w:val="annotation reference"/>
    <w:basedOn w:val="18"/>
    <w:semiHidden/>
    <w:unhideWhenUsed/>
    <w:qFormat/>
    <w:uiPriority w:val="99"/>
    <w:rPr>
      <w:sz w:val="21"/>
      <w:szCs w:val="21"/>
    </w:rPr>
  </w:style>
  <w:style w:type="character" w:customStyle="1" w:styleId="22">
    <w:name w:val="页眉 字符"/>
    <w:basedOn w:val="18"/>
    <w:link w:val="10"/>
    <w:qFormat/>
    <w:uiPriority w:val="99"/>
    <w:rPr>
      <w:sz w:val="18"/>
      <w:szCs w:val="18"/>
    </w:rPr>
  </w:style>
  <w:style w:type="character" w:customStyle="1" w:styleId="23">
    <w:name w:val="页脚 字符"/>
    <w:basedOn w:val="18"/>
    <w:link w:val="9"/>
    <w:qFormat/>
    <w:uiPriority w:val="99"/>
    <w:rPr>
      <w:sz w:val="18"/>
      <w:szCs w:val="18"/>
    </w:rPr>
  </w:style>
  <w:style w:type="character" w:customStyle="1" w:styleId="24">
    <w:name w:val="标题 1 字符"/>
    <w:basedOn w:val="18"/>
    <w:link w:val="2"/>
    <w:qFormat/>
    <w:uiPriority w:val="9"/>
    <w:rPr>
      <w:rFonts w:eastAsia="黑体" w:cstheme="minorBidi"/>
      <w:b/>
      <w:bCs/>
      <w:kern w:val="44"/>
      <w:sz w:val="24"/>
      <w:szCs w:val="44"/>
    </w:rPr>
  </w:style>
  <w:style w:type="character" w:customStyle="1" w:styleId="25">
    <w:name w:val="标题 2 字符"/>
    <w:basedOn w:val="18"/>
    <w:link w:val="3"/>
    <w:qFormat/>
    <w:uiPriority w:val="9"/>
    <w:rPr>
      <w:rFonts w:ascii="黑体" w:hAnsi="黑体" w:eastAsia="黑体" w:cstheme="majorBidi"/>
      <w:bCs/>
      <w:kern w:val="2"/>
      <w:sz w:val="21"/>
      <w:szCs w:val="32"/>
    </w:rPr>
  </w:style>
  <w:style w:type="paragraph" w:styleId="26">
    <w:name w:val="List Paragraph"/>
    <w:basedOn w:val="1"/>
    <w:qFormat/>
    <w:uiPriority w:val="34"/>
    <w:pPr>
      <w:ind w:firstLine="420"/>
    </w:pPr>
  </w:style>
  <w:style w:type="paragraph" w:customStyle="1" w:styleId="27">
    <w:name w:val="TOC 标题1"/>
    <w:basedOn w:val="2"/>
    <w:next w:val="1"/>
    <w:unhideWhenUsed/>
    <w:qFormat/>
    <w:uiPriority w:val="39"/>
    <w:pPr>
      <w:spacing w:before="240" w:after="0" w:line="259" w:lineRule="auto"/>
      <w:outlineLvl w:val="9"/>
    </w:pPr>
    <w:rPr>
      <w:rFonts w:asciiTheme="majorHAnsi" w:hAnsiTheme="majorHAnsi" w:eastAsiaTheme="majorEastAsia" w:cstheme="majorBidi"/>
      <w:bCs w:val="0"/>
      <w:color w:val="2E75B6" w:themeColor="accent1" w:themeShade="BF"/>
      <w:kern w:val="0"/>
      <w:sz w:val="32"/>
      <w:szCs w:val="32"/>
    </w:rPr>
  </w:style>
  <w:style w:type="paragraph" w:customStyle="1" w:styleId="2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图表标题格式"/>
    <w:qFormat/>
    <w:uiPriority w:val="0"/>
    <w:pPr>
      <w:jc w:val="center"/>
    </w:pPr>
    <w:rPr>
      <w:rFonts w:ascii="Times New Roman" w:hAnsi="宋体" w:eastAsia="黑体" w:cs="宋体"/>
      <w:kern w:val="2"/>
      <w:sz w:val="21"/>
      <w:szCs w:val="21"/>
      <w:lang w:val="en-US" w:eastAsia="zh-CN" w:bidi="ar-SA"/>
    </w:rPr>
  </w:style>
  <w:style w:type="paragraph" w:customStyle="1" w:styleId="30">
    <w:name w:val="图表内容"/>
    <w:qFormat/>
    <w:uiPriority w:val="0"/>
    <w:pPr>
      <w:jc w:val="center"/>
    </w:pPr>
    <w:rPr>
      <w:rFonts w:ascii="Times New Roman" w:hAnsi="Times New Roman" w:eastAsia="宋体" w:cs="宋体"/>
      <w:color w:val="000000"/>
      <w:sz w:val="21"/>
      <w:szCs w:val="22"/>
      <w:lang w:val="en-US" w:eastAsia="zh-CN" w:bidi="ar-SA"/>
    </w:rPr>
  </w:style>
  <w:style w:type="character" w:customStyle="1" w:styleId="31">
    <w:name w:val="批注文字 字符"/>
    <w:basedOn w:val="18"/>
    <w:link w:val="6"/>
    <w:qFormat/>
    <w:uiPriority w:val="99"/>
    <w:rPr>
      <w:rFonts w:ascii="Times New Roman" w:hAnsi="Times New Roman"/>
      <w:sz w:val="24"/>
    </w:rPr>
  </w:style>
  <w:style w:type="character" w:customStyle="1" w:styleId="32">
    <w:name w:val="批注主题 字符"/>
    <w:basedOn w:val="31"/>
    <w:link w:val="15"/>
    <w:semiHidden/>
    <w:qFormat/>
    <w:uiPriority w:val="99"/>
    <w:rPr>
      <w:rFonts w:ascii="Times New Roman" w:hAnsi="Times New Roman"/>
      <w:b/>
      <w:bCs/>
      <w:sz w:val="24"/>
    </w:rPr>
  </w:style>
  <w:style w:type="character" w:customStyle="1" w:styleId="33">
    <w:name w:val="批注框文本 字符"/>
    <w:basedOn w:val="18"/>
    <w:link w:val="8"/>
    <w:semiHidden/>
    <w:qFormat/>
    <w:uiPriority w:val="99"/>
    <w:rPr>
      <w:rFonts w:ascii="Times New Roman" w:hAnsi="Times New Roman"/>
      <w:sz w:val="18"/>
      <w:szCs w:val="18"/>
    </w:rPr>
  </w:style>
  <w:style w:type="paragraph" w:customStyle="1" w:styleId="34">
    <w:name w:val="修订1"/>
    <w:hidden/>
    <w:semiHidden/>
    <w:qFormat/>
    <w:uiPriority w:val="99"/>
    <w:rPr>
      <w:rFonts w:ascii="Times New Roman" w:hAnsi="Times New Roman" w:eastAsiaTheme="minorEastAsia" w:cstheme="minorBidi"/>
      <w:kern w:val="2"/>
      <w:sz w:val="24"/>
      <w:szCs w:val="22"/>
      <w:lang w:val="en-US" w:eastAsia="zh-CN" w:bidi="ar-SA"/>
    </w:rPr>
  </w:style>
  <w:style w:type="character" w:customStyle="1" w:styleId="35">
    <w:name w:val="标题 3 字符"/>
    <w:basedOn w:val="18"/>
    <w:link w:val="4"/>
    <w:semiHidden/>
    <w:qFormat/>
    <w:uiPriority w:val="9"/>
    <w:rPr>
      <w:rFonts w:ascii="Times New Roman" w:hAnsi="Times New Roman"/>
      <w:b/>
      <w:bCs/>
      <w:sz w:val="32"/>
      <w:szCs w:val="32"/>
    </w:rPr>
  </w:style>
  <w:style w:type="character" w:customStyle="1" w:styleId="36">
    <w:name w:val="未处理的提及1"/>
    <w:basedOn w:val="18"/>
    <w:semiHidden/>
    <w:unhideWhenUsed/>
    <w:qFormat/>
    <w:uiPriority w:val="99"/>
    <w:rPr>
      <w:color w:val="605E5C"/>
      <w:shd w:val="clear" w:color="auto" w:fill="E1DFDD"/>
    </w:rPr>
  </w:style>
  <w:style w:type="character" w:styleId="37">
    <w:name w:val="Placeholder Text"/>
    <w:basedOn w:val="18"/>
    <w:semiHidden/>
    <w:qFormat/>
    <w:uiPriority w:val="99"/>
    <w:rPr>
      <w:color w:val="666666"/>
    </w:rPr>
  </w:style>
  <w:style w:type="paragraph" w:customStyle="1" w:styleId="38">
    <w:name w:val="标准称谓"/>
    <w:next w:val="1"/>
    <w:autoRedefine/>
    <w:qFormat/>
    <w:uiPriority w:val="0"/>
    <w:pPr>
      <w:framePr w:w="9639" w:h="624" w:hRule="exact" w:hSpace="181" w:vSpace="181" w:wrap="around" w:vAnchor="page" w:hAnchor="page" w:x="1174" w:y="2262" w:anchorLock="1"/>
      <w:widowControl w:val="0"/>
      <w:kinsoku w:val="0"/>
      <w:overflowPunct w:val="0"/>
      <w:autoSpaceDE w:val="0"/>
      <w:autoSpaceDN w:val="0"/>
      <w:spacing w:line="300" w:lineRule="auto"/>
      <w:ind w:firstLine="480" w:firstLineChars="100"/>
      <w:jc w:val="both"/>
    </w:pPr>
    <w:rPr>
      <w:rFonts w:ascii="黑体" w:hAnsi="黑体" w:eastAsia="黑体" w:cs="Times New Roman"/>
      <w:bCs/>
      <w:sz w:val="48"/>
      <w:lang w:val="en-US" w:eastAsia="zh-CN" w:bidi="ar-SA"/>
    </w:rPr>
  </w:style>
  <w:style w:type="paragraph" w:customStyle="1" w:styleId="39">
    <w:name w:val="标准文件_文件编号"/>
    <w:basedOn w:val="1"/>
    <w:autoRedefine/>
    <w:qFormat/>
    <w:uiPriority w:val="0"/>
    <w:pPr>
      <w:framePr w:w="9356" w:h="624" w:hRule="exact" w:hSpace="181" w:vSpace="181" w:wrap="auto" w:vAnchor="page" w:hAnchor="page" w:x="1419" w:y="3284"/>
      <w:widowControl/>
      <w:autoSpaceDE w:val="0"/>
      <w:autoSpaceDN w:val="0"/>
      <w:spacing w:line="300" w:lineRule="auto"/>
      <w:ind w:firstLine="480" w:firstLineChars="0"/>
      <w:jc w:val="center"/>
    </w:pPr>
    <w:rPr>
      <w:rFonts w:ascii="黑体" w:eastAsia="黑体" w:cs="Times New Roman"/>
      <w:bCs/>
      <w:kern w:val="0"/>
      <w:sz w:val="28"/>
      <w:szCs w:val="28"/>
    </w:rPr>
  </w:style>
  <w:style w:type="paragraph" w:customStyle="1" w:styleId="40">
    <w:name w:val="标准文件_替换文件编号"/>
    <w:basedOn w:val="39"/>
    <w:autoRedefine/>
    <w:qFormat/>
    <w:uiPriority w:val="0"/>
    <w:pPr>
      <w:spacing w:before="57"/>
    </w:pPr>
    <w:rPr>
      <w:sz w:val="21"/>
    </w:rPr>
  </w:style>
  <w:style w:type="paragraph" w:customStyle="1" w:styleId="41">
    <w:name w:val="封面标准英文名称"/>
    <w:autoRedefine/>
    <w:qFormat/>
    <w:uiPriority w:val="0"/>
    <w:pPr>
      <w:framePr w:w="9639" w:h="6974" w:hRule="exact" w:wrap="around" w:vAnchor="page" w:hAnchor="page" w:x="1419" w:y="6408" w:anchorLock="1"/>
      <w:widowControl w:val="0"/>
      <w:spacing w:line="300" w:lineRule="auto"/>
      <w:jc w:val="center"/>
      <w:textAlignment w:val="bottom"/>
    </w:pPr>
    <w:rPr>
      <w:rFonts w:ascii="Times New Roman" w:hAnsi="Times New Roman" w:eastAsia="宋体" w:cs="Times New Roman"/>
      <w:sz w:val="28"/>
      <w:lang w:val="en-US" w:eastAsia="zh-CN" w:bidi="ar-SA"/>
    </w:rPr>
  </w:style>
  <w:style w:type="paragraph" w:customStyle="1" w:styleId="42">
    <w:name w:val="标准文件_文件名称"/>
    <w:basedOn w:val="1"/>
    <w:next w:val="1"/>
    <w:autoRedefine/>
    <w:qFormat/>
    <w:uiPriority w:val="0"/>
    <w:pPr>
      <w:framePr w:w="9639" w:h="6974" w:hRule="exact" w:wrap="around" w:vAnchor="page" w:hAnchor="page" w:x="1419" w:y="6408" w:anchorLock="1"/>
      <w:widowControl/>
      <w:spacing w:line="300" w:lineRule="auto"/>
      <w:ind w:firstLine="0" w:firstLineChars="0"/>
      <w:jc w:val="center"/>
    </w:pPr>
    <w:rPr>
      <w:rFonts w:ascii="黑体" w:hAnsi="黑体" w:eastAsia="黑体" w:cs="Times New Roman"/>
      <w:bCs/>
      <w:kern w:val="0"/>
      <w:sz w:val="52"/>
      <w:szCs w:val="20"/>
    </w:rPr>
  </w:style>
  <w:style w:type="paragraph" w:customStyle="1" w:styleId="43">
    <w:name w:val="其他发布日期"/>
    <w:basedOn w:val="1"/>
    <w:autoRedefine/>
    <w:qFormat/>
    <w:uiPriority w:val="0"/>
    <w:pPr>
      <w:framePr w:w="3997" w:h="471" w:hRule="exact" w:vSpace="181" w:wrap="around" w:vAnchor="page" w:hAnchor="page" w:x="1419" w:y="14097" w:anchorLock="1"/>
      <w:widowControl/>
      <w:ind w:firstLine="0" w:firstLineChars="0"/>
      <w:jc w:val="left"/>
    </w:pPr>
    <w:rPr>
      <w:rFonts w:eastAsia="黑体" w:cs="Times New Roman"/>
      <w:kern w:val="0"/>
      <w:sz w:val="28"/>
      <w:szCs w:val="20"/>
    </w:rPr>
  </w:style>
  <w:style w:type="paragraph" w:customStyle="1" w:styleId="44">
    <w:name w:val="其他实施日期"/>
    <w:basedOn w:val="1"/>
    <w:autoRedefine/>
    <w:qFormat/>
    <w:uiPriority w:val="0"/>
    <w:pPr>
      <w:framePr w:w="3997" w:h="471" w:hRule="exact" w:vSpace="181" w:wrap="around" w:vAnchor="page" w:hAnchor="page" w:x="7089" w:y="14097" w:anchorLock="1"/>
      <w:widowControl/>
      <w:ind w:firstLine="0" w:firstLineChars="0"/>
      <w:jc w:val="right"/>
    </w:pPr>
    <w:rPr>
      <w:rFonts w:eastAsia="黑体" w:cs="Times New Roman"/>
      <w:kern w:val="0"/>
      <w:sz w:val="28"/>
      <w:szCs w:val="20"/>
    </w:rPr>
  </w:style>
  <w:style w:type="paragraph" w:customStyle="1" w:styleId="45">
    <w:name w:val="其他发布部门"/>
    <w:basedOn w:val="1"/>
    <w:autoRedefine/>
    <w:qFormat/>
    <w:uiPriority w:val="0"/>
    <w:pPr>
      <w:framePr w:w="7433" w:h="584" w:hRule="exact" w:hSpace="181" w:vSpace="181" w:wrap="around" w:vAnchor="page" w:hAnchor="page" w:x="2636" w:y="15368" w:anchorLock="1"/>
      <w:widowControl/>
      <w:spacing w:line="300" w:lineRule="auto"/>
      <w:ind w:firstLine="560" w:firstLineChars="0"/>
    </w:pPr>
    <w:rPr>
      <w:rFonts w:eastAsia="宋体" w:cs="Times New Roman"/>
      <w:b/>
      <w:bCs/>
      <w:kern w:val="0"/>
      <w:sz w:val="28"/>
      <w:szCs w:val="20"/>
    </w:rPr>
  </w:style>
  <w:style w:type="character" w:customStyle="1" w:styleId="46">
    <w:name w:val="发布"/>
    <w:basedOn w:val="18"/>
    <w:autoRedefine/>
    <w:qFormat/>
    <w:uiPriority w:val="0"/>
    <w:rPr>
      <w:rFonts w:ascii="黑体" w:eastAsia="黑体"/>
      <w:spacing w:val="85"/>
      <w:w w:val="100"/>
      <w:position w:val="3"/>
      <w:sz w:val="28"/>
      <w:szCs w:val="28"/>
    </w:rPr>
  </w:style>
  <w:style w:type="paragraph" w:customStyle="1" w:styleId="47">
    <w:name w:val="msonormal"/>
    <w:basedOn w:val="1"/>
    <w:qFormat/>
    <w:uiPriority w:val="0"/>
    <w:pPr>
      <w:widowControl/>
      <w:spacing w:before="100" w:beforeAutospacing="1" w:after="100" w:afterAutospacing="1"/>
      <w:ind w:firstLine="0" w:firstLineChars="0"/>
      <w:jc w:val="left"/>
    </w:pPr>
    <w:rPr>
      <w:rFonts w:ascii="宋体" w:hAnsi="宋体" w:eastAsia="宋体" w:cs="宋体"/>
      <w:kern w:val="0"/>
      <w:szCs w:val="24"/>
    </w:rPr>
  </w:style>
  <w:style w:type="paragraph" w:customStyle="1" w:styleId="48">
    <w:name w:val="font5"/>
    <w:basedOn w:val="1"/>
    <w:qFormat/>
    <w:uiPriority w:val="0"/>
    <w:pPr>
      <w:widowControl/>
      <w:spacing w:before="100" w:beforeAutospacing="1" w:after="100" w:afterAutospacing="1"/>
      <w:ind w:firstLine="0" w:firstLineChars="0"/>
      <w:jc w:val="left"/>
    </w:pPr>
    <w:rPr>
      <w:rFonts w:ascii="等线" w:hAnsi="等线" w:eastAsia="等线" w:cs="宋体"/>
      <w:kern w:val="0"/>
      <w:sz w:val="18"/>
      <w:szCs w:val="18"/>
    </w:rPr>
  </w:style>
  <w:style w:type="paragraph" w:customStyle="1" w:styleId="49">
    <w:name w:val="font6"/>
    <w:basedOn w:val="1"/>
    <w:qFormat/>
    <w:uiPriority w:val="0"/>
    <w:pPr>
      <w:widowControl/>
      <w:spacing w:before="100" w:beforeAutospacing="1" w:after="100" w:afterAutospacing="1"/>
      <w:ind w:firstLine="0" w:firstLineChars="0"/>
      <w:jc w:val="left"/>
    </w:pPr>
    <w:rPr>
      <w:rFonts w:ascii="宋体" w:hAnsi="宋体" w:eastAsia="宋体" w:cs="宋体"/>
      <w:color w:val="000000"/>
      <w:kern w:val="0"/>
      <w:sz w:val="22"/>
    </w:rPr>
  </w:style>
  <w:style w:type="paragraph" w:customStyle="1" w:styleId="50">
    <w:name w:val="font7"/>
    <w:basedOn w:val="1"/>
    <w:qFormat/>
    <w:uiPriority w:val="0"/>
    <w:pPr>
      <w:widowControl/>
      <w:spacing w:before="100" w:beforeAutospacing="1" w:after="100" w:afterAutospacing="1"/>
      <w:ind w:firstLine="0" w:firstLineChars="0"/>
      <w:jc w:val="left"/>
    </w:pPr>
    <w:rPr>
      <w:rFonts w:eastAsia="宋体" w:cs="Times New Roman"/>
      <w:color w:val="000000"/>
      <w:kern w:val="0"/>
      <w:sz w:val="22"/>
    </w:rPr>
  </w:style>
  <w:style w:type="paragraph" w:customStyle="1" w:styleId="51">
    <w:name w:val="xl65"/>
    <w:basedOn w:val="1"/>
    <w:qFormat/>
    <w:uiPriority w:val="0"/>
    <w:pPr>
      <w:widowControl/>
      <w:spacing w:before="100" w:beforeAutospacing="1" w:after="100" w:afterAutospacing="1"/>
      <w:ind w:firstLine="0" w:firstLineChars="0"/>
      <w:jc w:val="center"/>
      <w:textAlignment w:val="center"/>
    </w:pPr>
    <w:rPr>
      <w:rFonts w:ascii="宋体" w:hAnsi="宋体" w:eastAsia="宋体" w:cs="宋体"/>
      <w:kern w:val="0"/>
      <w:szCs w:val="24"/>
    </w:rPr>
  </w:style>
  <w:style w:type="paragraph" w:customStyle="1" w:styleId="5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eastAsia="宋体" w:cs="Times New Roman"/>
      <w:kern w:val="0"/>
      <w:szCs w:val="24"/>
    </w:rPr>
  </w:style>
  <w:style w:type="paragraph" w:customStyle="1" w:styleId="53">
    <w:name w:val="xl67"/>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0" w:firstLineChars="0"/>
      <w:jc w:val="center"/>
      <w:textAlignment w:val="center"/>
    </w:pPr>
    <w:rPr>
      <w:rFonts w:eastAsia="宋体" w:cs="Times New Roman"/>
      <w:kern w:val="0"/>
      <w:sz w:val="16"/>
      <w:szCs w:val="16"/>
    </w:rPr>
  </w:style>
  <w:style w:type="paragraph" w:customStyle="1" w:styleId="54">
    <w:name w:val="xl68"/>
    <w:basedOn w:val="1"/>
    <w:qFormat/>
    <w:uiPriority w:val="0"/>
    <w:pPr>
      <w:widowControl/>
      <w:pBdr>
        <w:top w:val="single" w:color="auto" w:sz="4" w:space="0"/>
        <w:bottom w:val="single" w:color="auto" w:sz="4" w:space="0"/>
      </w:pBdr>
      <w:spacing w:before="100" w:beforeAutospacing="1" w:after="100" w:afterAutospacing="1"/>
      <w:ind w:firstLine="0" w:firstLineChars="0"/>
      <w:jc w:val="center"/>
      <w:textAlignment w:val="center"/>
    </w:pPr>
    <w:rPr>
      <w:rFonts w:eastAsia="宋体" w:cs="Times New Roman"/>
      <w:kern w:val="0"/>
      <w:sz w:val="16"/>
      <w:szCs w:val="16"/>
    </w:rPr>
  </w:style>
  <w:style w:type="paragraph" w:customStyle="1" w:styleId="55">
    <w:name w:val="xl69"/>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0" w:firstLineChars="0"/>
      <w:jc w:val="center"/>
      <w:textAlignment w:val="center"/>
    </w:pPr>
    <w:rPr>
      <w:rFonts w:eastAsia="宋体" w:cs="Times New Roman"/>
      <w:kern w:val="0"/>
      <w:sz w:val="16"/>
      <w:szCs w:val="16"/>
    </w:rPr>
  </w:style>
  <w:style w:type="paragraph" w:customStyle="1" w:styleId="56">
    <w:name w:val="标准文件_段"/>
    <w:link w:val="57"/>
    <w:autoRedefine/>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57">
    <w:name w:val="标准文件_段 Char"/>
    <w:link w:val="56"/>
    <w:autoRedefine/>
    <w:qFormat/>
    <w:uiPriority w:val="0"/>
    <w:rPr>
      <w:rFonts w:ascii="宋体" w:hAnsi="Times New Roman" w:eastAsia="宋体" w:cs="Times New Roman"/>
      <w:sz w:val="21"/>
    </w:rPr>
  </w:style>
  <w:style w:type="character" w:customStyle="1" w:styleId="58">
    <w:name w:val="日期 字符"/>
    <w:basedOn w:val="18"/>
    <w:link w:val="7"/>
    <w:semiHidden/>
    <w:qFormat/>
    <w:uiPriority w:val="99"/>
    <w:rPr>
      <w:rFonts w:ascii="Times New Roman" w:hAnsi="Times New Roman"/>
      <w:kern w:val="2"/>
      <w:sz w:val="24"/>
      <w:szCs w:val="22"/>
    </w:rPr>
  </w:style>
  <w:style w:type="paragraph" w:customStyle="1" w:styleId="59">
    <w:name w:val="标准文件_正文表标题"/>
    <w:next w:val="56"/>
    <w:autoRedefine/>
    <w:qFormat/>
    <w:uiPriority w:val="0"/>
    <w:pPr>
      <w:tabs>
        <w:tab w:val="left" w:pos="0"/>
      </w:tabs>
      <w:spacing w:before="156" w:beforeLines="50" w:after="156" w:afterLines="50"/>
      <w:jc w:val="center"/>
    </w:pPr>
    <w:rPr>
      <w:rFonts w:ascii="黑体" w:hAnsi="Times New Roman" w:eastAsia="黑体" w:cs="Times New Roman"/>
      <w:sz w:val="21"/>
      <w:lang w:val="en-US" w:eastAsia="zh-CN" w:bidi="ar-SA"/>
    </w:rPr>
  </w:style>
  <w:style w:type="paragraph" w:customStyle="1" w:styleId="60">
    <w:name w:val="正文无缩进"/>
    <w:basedOn w:val="1"/>
    <w:qFormat/>
    <w:uiPriority w:val="0"/>
    <w:pPr>
      <w:ind w:firstLine="0" w:firstLineChars="0"/>
    </w:pPr>
  </w:style>
  <w:style w:type="character" w:customStyle="1" w:styleId="61">
    <w:name w:val="标题 4 字符"/>
    <w:basedOn w:val="18"/>
    <w:link w:val="5"/>
    <w:semiHidden/>
    <w:qFormat/>
    <w:uiPriority w:val="9"/>
    <w:rPr>
      <w:rFonts w:asciiTheme="majorHAnsi" w:hAnsiTheme="majorHAnsi" w:eastAsiaTheme="majorEastAsia" w:cstheme="majorBidi"/>
      <w:b/>
      <w:bCs/>
      <w:kern w:val="2"/>
      <w:sz w:val="28"/>
      <w:szCs w:val="28"/>
    </w:rPr>
  </w:style>
  <w:style w:type="paragraph" w:customStyle="1" w:styleId="62">
    <w:name w:val="修订2"/>
    <w:hidden/>
    <w:unhideWhenUsed/>
    <w:qFormat/>
    <w:uiPriority w:val="99"/>
    <w:rPr>
      <w:rFonts w:ascii="Times New Roman" w:hAnsi="Times New Roman" w:eastAsiaTheme="minorEastAsia" w:cstheme="minorBidi"/>
      <w:kern w:val="2"/>
      <w:sz w:val="21"/>
      <w:szCs w:val="22"/>
      <w:lang w:val="en-US" w:eastAsia="zh-CN" w:bidi="ar-SA"/>
    </w:rPr>
  </w:style>
  <w:style w:type="paragraph" w:customStyle="1" w:styleId="63">
    <w:name w:val="修订3"/>
    <w:hidden/>
    <w:unhideWhenUsed/>
    <w:qFormat/>
    <w:uiPriority w:val="99"/>
    <w:rPr>
      <w:rFonts w:ascii="Times New Roman" w:hAnsi="Times New Roman" w:eastAsiaTheme="minorEastAsia" w:cstheme="minorBidi"/>
      <w:kern w:val="2"/>
      <w:sz w:val="21"/>
      <w:szCs w:val="22"/>
      <w:lang w:val="en-US" w:eastAsia="zh-CN" w:bidi="ar-SA"/>
    </w:rPr>
  </w:style>
  <w:style w:type="paragraph" w:customStyle="1" w:styleId="64">
    <w:name w:val="修订4"/>
    <w:hidden/>
    <w:unhideWhenUsed/>
    <w:qFormat/>
    <w:uiPriority w:val="99"/>
    <w:rPr>
      <w:rFonts w:ascii="Times New Roman" w:hAnsi="Times New Roman" w:eastAsiaTheme="minorEastAsia" w:cstheme="minorBidi"/>
      <w:kern w:val="2"/>
      <w:sz w:val="21"/>
      <w:szCs w:val="22"/>
      <w:lang w:val="en-US" w:eastAsia="zh-CN" w:bidi="ar-SA"/>
    </w:rPr>
  </w:style>
  <w:style w:type="paragraph" w:customStyle="1" w:styleId="65">
    <w:name w:val="修订5"/>
    <w:hidden/>
    <w:unhideWhenUsed/>
    <w:qFormat/>
    <w:uiPriority w:val="99"/>
    <w:rPr>
      <w:rFonts w:ascii="Times New Roman" w:hAnsi="Times New Roman" w:eastAsiaTheme="minorEastAsia" w:cstheme="minorBidi"/>
      <w:kern w:val="2"/>
      <w:sz w:val="21"/>
      <w:szCs w:val="22"/>
      <w:lang w:val="en-US" w:eastAsia="zh-CN" w:bidi="ar-SA"/>
    </w:rPr>
  </w:style>
  <w:style w:type="table" w:customStyle="1" w:styleId="66">
    <w:name w:val="Table"/>
    <w:basedOn w:val="16"/>
    <w:qFormat/>
    <w:uiPriority w:val="0"/>
    <w:pPr>
      <w:jc w:val="center"/>
    </w:pPr>
    <w:tblPr>
      <w:tblBorders>
        <w:top w:val="single" w:color="auto" w:sz="12" w:space="0"/>
        <w:bottom w:val="single" w:color="auto" w:sz="12" w:space="0"/>
      </w:tblBorders>
    </w:tblPr>
    <w:tcPr>
      <w:vAlign w:val="center"/>
    </w:tcPr>
    <w:tblStylePr w:type="firstRow">
      <w:rPr>
        <w:rFonts w:hint="default" w:ascii="Times New Roman" w:hAnsi="Times New Roman" w:eastAsia="宋体" w:cs="Times New Roman"/>
        <w:b/>
        <w:i w:val="0"/>
      </w:rPr>
      <w:tcPr>
        <w:tcBorders>
          <w:bottom w:val="single" w:color="auto" w:sz="4" w:space="0"/>
        </w:tcBorders>
      </w:tcPr>
    </w:tblStylePr>
  </w:style>
  <w:style w:type="paragraph" w:customStyle="1" w:styleId="67">
    <w:name w:val="Revision"/>
    <w:hidden/>
    <w:unhideWhenUsed/>
    <w:qFormat/>
    <w:uiPriority w:val="99"/>
    <w:rPr>
      <w:rFonts w:ascii="Times New Roman" w:hAnsi="Times New Roman"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403EE4D133844E1960A12066769DA5D"/>
        <w:style w:val=""/>
        <w:category>
          <w:name w:val="常规"/>
          <w:gallery w:val="placeholder"/>
        </w:category>
        <w:types>
          <w:type w:val="bbPlcHdr"/>
        </w:types>
        <w:behaviors>
          <w:behavior w:val="content"/>
        </w:behaviors>
        <w:description w:val=""/>
        <w:guid w:val="{E9DA9571-7821-479E-94FE-F1E7A4E96447}"/>
      </w:docPartPr>
      <w:docPartBody>
        <w:p w14:paraId="24BB9D86">
          <w:pPr>
            <w:pStyle w:val="5"/>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57F"/>
    <w:rsid w:val="0002134E"/>
    <w:rsid w:val="000560EB"/>
    <w:rsid w:val="00065746"/>
    <w:rsid w:val="000737E2"/>
    <w:rsid w:val="00077DBF"/>
    <w:rsid w:val="00095962"/>
    <w:rsid w:val="000B65FB"/>
    <w:rsid w:val="000D013D"/>
    <w:rsid w:val="000E3C36"/>
    <w:rsid w:val="00121C7F"/>
    <w:rsid w:val="00125063"/>
    <w:rsid w:val="00155068"/>
    <w:rsid w:val="00177FF1"/>
    <w:rsid w:val="001A4210"/>
    <w:rsid w:val="001F0B25"/>
    <w:rsid w:val="00251EC4"/>
    <w:rsid w:val="00254BE4"/>
    <w:rsid w:val="00271CF6"/>
    <w:rsid w:val="00275967"/>
    <w:rsid w:val="002B567C"/>
    <w:rsid w:val="002D4BB5"/>
    <w:rsid w:val="002F4B55"/>
    <w:rsid w:val="002F506F"/>
    <w:rsid w:val="002F6D13"/>
    <w:rsid w:val="00310137"/>
    <w:rsid w:val="00333F02"/>
    <w:rsid w:val="003C6045"/>
    <w:rsid w:val="003E0E78"/>
    <w:rsid w:val="003F07C9"/>
    <w:rsid w:val="003F45B9"/>
    <w:rsid w:val="00400551"/>
    <w:rsid w:val="004609A0"/>
    <w:rsid w:val="004C60DE"/>
    <w:rsid w:val="004C742E"/>
    <w:rsid w:val="004F0A54"/>
    <w:rsid w:val="005606BA"/>
    <w:rsid w:val="005A6F66"/>
    <w:rsid w:val="005E03F5"/>
    <w:rsid w:val="00641A2A"/>
    <w:rsid w:val="0065557F"/>
    <w:rsid w:val="0067161B"/>
    <w:rsid w:val="006A2C2E"/>
    <w:rsid w:val="007063DB"/>
    <w:rsid w:val="007277F7"/>
    <w:rsid w:val="00777A18"/>
    <w:rsid w:val="007E1DFC"/>
    <w:rsid w:val="00807F93"/>
    <w:rsid w:val="00822FF1"/>
    <w:rsid w:val="0086199D"/>
    <w:rsid w:val="00914E46"/>
    <w:rsid w:val="00933523"/>
    <w:rsid w:val="00975765"/>
    <w:rsid w:val="009922C9"/>
    <w:rsid w:val="009F56C7"/>
    <w:rsid w:val="00AB531E"/>
    <w:rsid w:val="00B01B07"/>
    <w:rsid w:val="00B15F5F"/>
    <w:rsid w:val="00B265A1"/>
    <w:rsid w:val="00B371AC"/>
    <w:rsid w:val="00B45AE5"/>
    <w:rsid w:val="00B50217"/>
    <w:rsid w:val="00B559D4"/>
    <w:rsid w:val="00B97C99"/>
    <w:rsid w:val="00BF3162"/>
    <w:rsid w:val="00BF5820"/>
    <w:rsid w:val="00C40719"/>
    <w:rsid w:val="00C47377"/>
    <w:rsid w:val="00C57DD0"/>
    <w:rsid w:val="00C97B4C"/>
    <w:rsid w:val="00CA45F9"/>
    <w:rsid w:val="00CB6751"/>
    <w:rsid w:val="00D35F66"/>
    <w:rsid w:val="00D447C5"/>
    <w:rsid w:val="00DA053E"/>
    <w:rsid w:val="00E023DD"/>
    <w:rsid w:val="00E31D85"/>
    <w:rsid w:val="00E50192"/>
    <w:rsid w:val="00EB12A5"/>
    <w:rsid w:val="00EF0956"/>
    <w:rsid w:val="00F316CC"/>
    <w:rsid w:val="00F330F2"/>
    <w:rsid w:val="00F44036"/>
    <w:rsid w:val="00F7406D"/>
    <w:rsid w:val="00FA138B"/>
    <w:rsid w:val="00FB44F3"/>
    <w:rsid w:val="00FF024E"/>
    <w:rsid w:val="00FF5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2403EE4D133844E1960A12066769DA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8EF092-7E48-4EBF-9A54-372A967C6730}">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6293</Words>
  <Characters>6832</Characters>
  <Lines>341</Lines>
  <Paragraphs>436</Paragraphs>
  <TotalTime>101</TotalTime>
  <ScaleCrop>false</ScaleCrop>
  <LinksUpToDate>false</LinksUpToDate>
  <CharactersWithSpaces>6980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2026-07-07T08:31:00Z</dcterms:created>
  <dc:creator>wangzhen</dc:creator>
  <cp:lastModifiedBy>王珍</cp:lastModifiedBy>
  <cp:lastPrinted>2025-05-26T00:58:00Z</cp:lastPrinted>
  <dcterms:modified xsi:type="dcterms:W3CDTF">2026-07-08T14:25:04Z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eyJoZGlkIjoiNGZhOTA4ZTIxYzU5OTU3MWUyNmEzNGRlYzVhZGEyODQiLCJ1c2VySWQiOiI5NTQ0MTgxODcifQ==</vt:lpwstr>
  </property>
  <property fmtid="{D5CDD505-2E9C-101B-9397-08002B2CF9AE}" pid="3" name="KSOProductBuildVer">
    <vt:lpwstr>2052-12.1.0.26895</vt:lpwstr>
  </property>
  <property fmtid="{D5CDD505-2E9C-101B-9397-08002B2CF9AE}" pid="4" name="ICV">
    <vt:lpwstr>447645AA4D6E418790B6CD0921208545_12</vt:lpwstr>
  </property>
</Properties>
</file>