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399"/>
        <w:gridCol w:w="1485"/>
        <w:gridCol w:w="3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国家对企业所得税减征与增值税免征政策执行情况调查表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企业所涉行业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企业所涉行业规模产值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企业所涉行业利润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企业是否享受到税收优惠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优惠覆盖面比例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企业执行税收减免是否顺畅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执行过程中存在哪些问题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企业对税收优惠政策的建议：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备注：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所涉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行业包括滴灌带和滴灌管生产销售和批发零售，喷灌机、滴灌带购置企业。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272BC"/>
    <w:rsid w:val="6742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2021-04-23T06:26:00Z</dcterms:created>
  <dc:creator>那年那兔</dc:creator>
  <cp:lastModifiedBy>那年那兔</cp:lastModifiedBy>
  <dcterms:modified xsi:type="dcterms:W3CDTF">2021-04-23T06:27:12Z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359135D2D39D469D9145BB52B7F92DFC</vt:lpwstr>
  </property>
</Properties>
</file>